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d994f928b2c4f3e" /><Relationship Type="http://schemas.openxmlformats.org/package/2006/relationships/metadata/core-properties" Target="/docProps/core.xml" Id="Rd77059a120884fe6" /><Relationship Type="http://schemas.openxmlformats.org/officeDocument/2006/relationships/extended-properties" Target="/docProps/app.xml" Id="R674c355c48b64b9c" /><Relationship Type="http://schemas.openxmlformats.org/officeDocument/2006/relationships/custom-properties" Target="/docProps/custom.xml" Id="R13406794dc6344c4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b w:val="1"/>
          <w:bCs w:val="1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36"/>
          <w:szCs w:val="36"/>
          <w:smallCaps w:val="0"/>
          <w:spacing w:val="0"/>
          <w:strike w:val="0"/>
          <w:u w:val="none"/>
        </w:rPr>
        <w:pStyle w:val="heading 3"/>
        <w:jc w:val="center"/>
        <w:keepLines w:val="0"/>
        <w:keepNext w:val="0"/>
        <w:ind w:firstLine="0" w:left="0" w:right="0"/>
        <w:spacing w:before="0" w:beforeAutospacing="0" w:after="321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1"/>
          <w:bCs w:val="1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36"/>
          <w:szCs w:val="36"/>
          <w:smallCaps w:val="0"/>
          <w:spacing w:val="0"/>
          <w:strike w:val="0"/>
          <w:u w:val="none"/>
        </w:rPr>
        <w:t>Решение № 445 от 17.11.2009 г. на ВКС по н. д. № 448/2009 г., II н. о., НК, докладчик председателят Лидия Стоянова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990" w:left="0" w:right="0"/>
        <w:spacing w:before="12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 xml:space="preserve">чл. 37, ал. 1, т. 7 НК 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 xml:space="preserve">чл. 55, ал. 3 НК 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 xml:space="preserve">чл. 343б НК 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 xml:space="preserve">чл. 343г НК 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чл. 382 НПК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990" w:left="0" w:right="0"/>
        <w:spacing w:before="12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Нормата на чл. 55, ал. 1 НК има предвид само изрично посочените по вид наказания, а това са доживотния затвор, лишаването от свобода, пробацията, т.е. това са случаите, в които може да се приложи посочената разпоредба. Видовете наказания са изброени изчерпателно и не може да се включи друг вид от предвидените в чл. 37 НК, каквото е и лишаването от право да се управлява МПС.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990" w:left="0" w:right="0"/>
        <w:spacing w:before="12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990" w:left="0" w:right="0"/>
        <w:spacing w:before="12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mc:AlternateContent>
          <mc:Choice Requires="wps">
            <w:drawing>
              <wp:inline>
                <wp:extent cx="1266190" cy="19050"/>
                <wp:docPr id="1" name="drawingObject1"/>
                <wp:cNvGraphicFramePr/>
                <a:graphic>
                  <a:graphicData uri="http://schemas.openxmlformats.org/drawingml/2006/picture">
                    <pic:pic>
                      <pic:nvPicPr>
                        <pic:cNvPr id="2" name="Picture 2"/>
                        <pic:cNvPicPr/>
                      </pic:nvPicPr>
                      <pic:blipFill>
                        <a:blip r:embed="R83071cbadeb840b8"/>
                        <a:stretch/>
                      </pic:blipFill>
                      <pic:spPr>
                        <a:xfrm rot="0">
                          <a:ext cx="1266190" cy="190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/>
        </mc:AlternateConten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990" w:left="0" w:right="0"/>
        <w:spacing w:before="12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Производството по чл. 420, ал. 1 НПК е образувано по искането от главния прокурор на Република България за възобновяване на нохд № 1889/2009 г. на Пловдивския районен съд и отмяна на определението от 10.04.2009 г., с което е одобрено споразумение между районната прокуратура и подсъдимия С. Л. И.. Поддържа се, че е допуснато нарушение на закона, с което се обосновава необходимостта от ново разглеждане на делото.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Прокурорът от Върховната касационна прокуратура поддържа искането по изложените в него съображения за нарушение на материалния закон.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Осъденият И. - лично и чрез защитника си, поддържа, че искането е неоснователно, поради което следва да бъде оставено без уважение.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Върховният касационен съд, второ наказателно отделение извърши проверка по доводите и намира: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Пловдивският районен съд с оспореното определение по нохд № 1889/2009 г. на основанията по чл. 384 вр. чл. 382 вр. чл. 381 НПК е одобрил споразумението между прокурор от Пловдивската районна прокуратура и подсъдимия и неговия защитник. Подсъдимият се е признал за виновен за извършено от него на 17.09.2006 г. престъпление по чл. 343Б НК и му е наложено наказание пробация със съответните мерки при предпоставките на чл. 55, ал. 1, т. 2, б. Б НК. Приложен е чл. 55, ал. 3 НК като не му е наложено предвиденото в чл. 343Г НК допълнително наказание "лишаване от право да упражнява" определена професия или дейност.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Определението в частта относно приложението на чл. 55, ал. 3 НК е постановено в нарушение на закона и неправилно съдът го е одобрил като е приел, че отговаря на изискванията по чл. 382, ал. 7 НПК. Подсъдимият е признат за виновен за извършено престъпление по чл. 343Б от НК, а предвиденото наказание лишаване от свобода е заменено при предпоставките по чл. 55, ал. 1, т. 2, б. Б от НК с пробация. За това престъпление законодателят с чл. 343Г от НК е предвидил задължително постановяване и на наказанието лишаване от право по чл. 37, ал. 1, т. 7 НК - да упражнява определена професия или дейност, поради което не може да намери приложение разпоредбата на чл. 55, ал. 3 НК, според която съдът може да не наложи по-лекото наказание, което законът предвижда наред с наказанието лишаване от свобода. Това е така, защото чл. 55, ал. 1 НК има предвид само изрично посочените по вид наказания - а това са доживотния затвор, лишаването от свобода, пробацията, т.е. това са случаите, в които може да се приложи посочената разпоредба. Видовете наказания са изброени изчерпателно и не може да се включи друг вид от предвидените в чл. 37 НК, каквото е и лишаването от право да се управлява МПС. В този смисъл е постоянната съдебна практика (ТР № 61/30.12.1980 г. на ОСНК и Постановление № 1/1983 г. на Пленума на ВС на Република България).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Наказанието лишаване от право да се управлява МПС по чл. 37, ал. 1, т. 7 НК може да не се наложи в случаите, когато законодателят е предвидил алтернативна възможност за съда, възприемайки израза "може да постанови лишаване от право по чл. 37, ал. 1, т. 7 НК" - да лиши или да не лиши лицето от съответното право за определен срок. Такава е предвидена с допълнителната разпоредба на чл. 160, ал. 1 НК, в която не са включени престъпленията по чл. 343 НК (съотв. чл. 343Б, каквото е извършил осъдения) и не намира приложение чл. 55, ал. 3 НК. Прилагането й се влияе основно от обстоятелствата по чл. 50 НК, от тези, характеризиращи престъплението, от изискванията по чл. 36 НК, от преценката на предвидените в ЗДвП основания за наказание. С оглед на изложеното възраженията на осъдения и защитника му за липса на поддържаното нарушение не могат да бъдат възприети.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Предвид горното, искането на главния прокурор е основателно. Определението следва да бъде отменено по реда на възобновяването, а делото върнато за ново разглеждане от стадия на съдебното заседание и на основание чл. 425, ал. 1, т. 1 вр. чл. 422, ал. 1, т. 5 вр. чл. 348, ал. 1, т. 1 НПК Върховният касационен съд, второ наказателно отделение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РЕШИ: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ВЪЗОБНОВЯВА нохд № 1889/2009 г. на Пловдивския районен съд; ОТМЕНЯ определението от 10.04.2009 г., с което е одобрено споразумението, сключено по реда на глава ХХIХ НПК между прокурор от Пловдивската районната прокуратура и подсъдимия С. Л. И. и защитника му; ВРЪЩА делото на същия съд за ново разглеждане от друг състав от стадия на съдебното заседание.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Решението не подлежи на обжалване.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mc:AlternateContent>
          <mc:Choice Requires="wps">
            <w:drawing>
              <wp:inline>
                <wp:extent cx="6332220" cy="19050"/>
                <wp:docPr id="3" name="drawingObject3"/>
                <wp:cNvGraphicFramePr/>
                <a:graphic>
                  <a:graphicData uri="http://schemas.openxmlformats.org/drawingml/2006/picture">
                    <pic:pic>
                      <pic:nvPicPr>
                        <pic:cNvPr id="4" name="Picture 4"/>
                        <pic:cNvPicPr/>
                      </pic:nvPicPr>
                      <pic:blipFill>
                        <a:blip r:embed="R680486aee00a42d3"/>
                        <a:stretch/>
                      </pic:blipFill>
                      <pic:spPr>
                        <a:xfrm rot="0">
                          <a:ext cx="6332220" cy="190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/>
        </mc:AlternateConten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br w:type="textWrapping"/>
      </w:r>
      <w:r>
        <w:rPr>
          <w:b w:val="1"/>
          <w:bCs w:val="1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Данни за делото и връзка с други актове:</w:t>
      </w: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 xml:space="preserve"> 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numPr>
          <w:ilvl w:val="0"/>
          <w:numId w:val="1"/>
        </w:numPr>
        <w:jc w:val="left"/>
        <w:keepLines w:val="0"/>
        <w:keepNext w:val="0"/>
        <w:ind w:hanging="360" w:left="720" w:right="0"/>
        <w:spacing w:before="10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Допълнителна информация за Дело № 448/2009 г. по описа на II н. о. на ВКС - виж тук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Symbol" w:hAnsi="Symbol" w:cs="Symbol" w:eastAsia="Symbol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 xml:space="preserve">·  </w:t>
      </w: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Образувано във връзка с Дело № 1889/2009 г. на Районен съд - Пловдив</w:t>
      </w:r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1" w:orient="portrait" w:w="12241"/>
      <w:pgMar w:bottom="1134" w:footer="720" w:gutter="0" w:header="720" w:left="1134" w:right="1134" w:top="1134"/>
      <w:pgNumType w:fmt="decimal"/>
      <w:cols w:equalWidth="1" w:num="1" w:space="708" w:sep="0"/>
      <w:footerReference w:type="default" r:id="Reeb5014bc98f4fce"/>
    </w:sectPr>
  </w:body>
</w:document>
</file>

<file path=word/footer1.xml><?xml version="1.0" encoding="utf-8"?>
<w:ft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tbl>
    <w:tblPr>
      <w:jc w:val="left"/>
      <w:tblLayout w:type="fixed"/>
      <w:tblCellMar>
        <w:left w:type="dxa" w:w="0"/>
        <w:top w:type="dxa" w:w="0"/>
        <w:right w:type="dxa" w:w="0"/>
        <w:bottom w:type="dxa" w:w="0"/>
      </w:tblCellMar>
      <w:tblInd w:type="dxa" w:w="0"/>
      <w:tblW w:type="dxa" w:w="9943"/>
    </w:tblPr>
    <w:tblGrid>
      <w:gridCol w:w="518"/>
      <w:gridCol w:w="9425"/>
    </w:tblGrid>
    <w:tr>
      <w:trPr>
        <w:cantSplit w:val="0"/>
        <w:trHeight w:hRule="atLeast" w:val="375"/>
        <w:gridAfter w:val="0"/>
        <w:gridBefore w:val="0"/>
      </w:trPr>
      <w:tc>
        <w:tcPr>
          <w:tcW w:type="dxa" w:w="518"/>
          <w:vAlign w:val="center"/>
          <w:tcBorders>
            <w:left w:val="nil"/>
            <w:top w:val="single" w:sz="6" w:space="0" w:color="BDBDBD"/>
            <w:right w:val="nil"/>
            <w:bottom w:val="nil"/>
            <w:insideH w:val="nil"/>
            <w:insideV w:val="nil"/>
            <w:tl2br w:val="nil"/>
            <w:tr2bl w:val="nil"/>
          </w:tcBorders>
        </w:tcPr>
        <w:p>
          <w:pP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5"/>
              <w:szCs w:val="15"/>
              <w:smallCaps w:val="0"/>
              <w:spacing w:val="0"/>
              <w:strike w:val="0"/>
              <w:u w:val="none"/>
            </w:rPr>
            <w:jc w:val="left"/>
            <w:keepLines w:val="0"/>
            <w:keepNext w:val="0"/>
            <w:ind w:firstLine="0" w:left="0" w:right="150"/>
            <w:spacing w:before="75" w:beforeAutospacing="0" w:after="0" w:afterAutospacing="0" w:lineRule="auto" w:line="240"/>
            <w:mirrorIndents w:val="0"/>
            <w:contextualSpacing w:val="0"/>
            <w:pageBreakBefore w:val="0"/>
            <w:bidi w:val="0"/>
            <w:widowControl w:val="1"/>
          </w:pPr>
          <w:r>
            <w:rPr>
              <w:b w:val="0"/>
              <w:bCs w:val="0"/>
              <w:bdr w:val="none" w:sz="0" w:space="0" w:color="auto"/>
              <w:caps w:val="0"/>
              <w:color w:val="auto"/>
              <w:dstrike w:val="0"/>
              <w:rFonts w:ascii="Times New Roman" w:hAnsi="Times New Roman" w:cs="Times New Roman" w:eastAsia="Times New Roman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24"/>
              <w:szCs w:val="24"/>
              <w:smallCaps w:val="0"/>
              <w:spacing w:val="0"/>
              <w:strike w:val="0"/>
              <w:u w:val="none"/>
            </w:rPr>
            <mc:AlternateContent>
              <mc:Choice Requires="wps">
                <w:drawing>
                  <wp:inline>
                    <wp:extent cx="290830" cy="207645"/>
                    <wp:docPr id="5" name="drawingObject5"/>
                    <wp:cNvGraphicFramePr/>
                    <a:graphic>
                      <a:graphicData uri="http://schemas.openxmlformats.org/drawingml/2006/picture">
                        <pic:pic>
                          <pic:nvPicPr>
                            <pic:cNvPr id="6" name="Picture 6"/>
                            <pic:cNvPicPr/>
                          </pic:nvPicPr>
                          <pic:blipFill>
                            <a:blip r:embed="R74d5b7791ddf474b"/>
                            <a:stretch/>
                          </pic:blipFill>
                          <pic:spPr>
                            <a:xfrm rot="0">
                              <a:ext cx="290830" cy="2076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mc:Choice>
              <mc:Fallback/>
            </mc:AlternateContent>
          </w:r>
          <w: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5"/>
              <w:szCs w:val="15"/>
              <w:smallCaps w:val="0"/>
              <w:spacing w:val="0"/>
              <w:strike w:val="0"/>
              <w:u w:val="none"/>
            </w:rPr>
            <w:t xml:space="preserve"> </w:t>
          </w:r>
        </w:p>
      </w:tc>
      <w:tc>
        <w:tcPr>
          <w:tcW w:type="dxa" w:w="9425"/>
          <w:vAlign w:val="center"/>
          <w:tcBorders>
            <w:left w:val="nil"/>
            <w:top w:val="single" w:sz="6" w:space="0" w:color="BDBDBD"/>
            <w:right w:val="nil"/>
            <w:bottom w:val="nil"/>
            <w:insideH w:val="nil"/>
            <w:insideV w:val="nil"/>
            <w:tl2br w:val="nil"/>
            <w:tr2bl w:val="nil"/>
          </w:tcBorders>
        </w:tcPr>
        <w:p>
          <w:pP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8"/>
              <w:szCs w:val="18"/>
              <w:smallCaps w:val="0"/>
              <w:spacing w:val="0"/>
              <w:strike w:val="0"/>
              <w:u w:val="none"/>
            </w:rPr>
            <w:jc w:val="left"/>
            <w:keepLines w:val="0"/>
            <w:keepNext w:val="0"/>
            <w:ind w:firstLine="0" w:left="0" w:right="0"/>
            <w:spacing w:before="0" w:beforeAutospacing="0" w:after="0" w:afterAutospacing="0" w:lineRule="auto" w:line="240"/>
            <w:mirrorIndents w:val="0"/>
            <w:contextualSpacing w:val="0"/>
            <w:pageBreakBefore w:val="0"/>
            <w:bidi w:val="0"/>
            <w:widowControl w:val="1"/>
          </w:pPr>
          <w: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8"/>
              <w:szCs w:val="18"/>
              <w:smallCaps w:val="0"/>
              <w:spacing w:val="0"/>
              <w:strike w:val="0"/>
              <w:u w:val="none"/>
            </w:rPr>
            <w:t xml:space="preserve">Информационна система АПИС </w:t>
          </w:r>
          <w: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8"/>
              <w:szCs w:val="18"/>
              <w:smallCaps w:val="0"/>
              <w:spacing w:val="0"/>
              <w:strike w:val="0"/>
              <w:u w:val="none"/>
            </w:rPr>
            <w:br w:type="textWrapping"/>
          </w:r>
          <w: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5"/>
              <w:szCs w:val="15"/>
              <w:smallCaps w:val="0"/>
              <w:spacing w:val="0"/>
              <w:strike w:val="0"/>
              <w:u w:val="none"/>
            </w:rPr>
            <w:t>https://web.apis.bg</w:t>
          </w:r>
          <w: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8"/>
              <w:szCs w:val="18"/>
              <w:smallCaps w:val="0"/>
              <w:spacing w:val="0"/>
              <w:strike w:val="0"/>
              <w:u w:val="none"/>
            </w:rPr>
            <w:t xml:space="preserve"> </w:t>
          </w:r>
        </w:p>
      </w:tc>
    </w:tr>
  </w:tbl>
  <w:p>
    <w:pPr>
      <w:jc w:val="right"/>
    </w:pPr>
    <w:r>
      <w:rPr>
        <w:rFonts w:ascii="Arial" w:hAnsi="Arial" w:cs="Arial" w:eastAsia="Arial"/>
        <w:sz w:val="20"/>
        <w:szCs w:val="20"/>
      </w:rPr>
      <w:t xml:space="preserve">стр. </w:t>
    </w:r>
    <w:r>
      <w:rPr>
        <w:rFonts w:ascii="Arial" w:hAnsi="Arial" w:cs="Arial" w:eastAsia="Arial"/>
        <w:sz w:val="20"/>
        <w:szCs w:val="20"/>
      </w:rPr>
      <w:fldChar w:fldCharType="begin"/>
    </w:r>
    <w:r>
      <w:rPr>
        <w:rFonts w:ascii="Arial" w:hAnsi="Arial" w:cs="Arial" w:eastAsia="Arial"/>
        <w:sz w:val="20"/>
        <w:szCs w:val="20"/>
      </w:rPr>
      <w:instrText xml:space="preserve"> PAGE</w:instrText>
    </w:r>
    <w:r>
      <w:rPr>
        <w:rFonts w:ascii="Arial" w:hAnsi="Arial" w:cs="Arial" w:eastAsia="Arial"/>
        <w:sz w:val="20"/>
        <w:szCs w:val="20"/>
      </w:rPr>
      <w:fldChar w:fldCharType="end"/>
    </w:r>
    <w:r>
      <w:rPr>
        <w:rFonts w:ascii="Arial" w:hAnsi="Arial" w:cs="Arial" w:eastAsia="Arial"/>
        <w:sz w:val="20"/>
        <w:szCs w:val="20"/>
      </w:rPr>
      <w:t xml:space="preserve"> от </w:t>
    </w:r>
    <w:r>
      <w:rPr>
        <w:rFonts w:ascii="Arial" w:hAnsi="Arial" w:cs="Arial" w:eastAsia="Arial"/>
        <w:sz w:val="20"/>
        <w:szCs w:val="20"/>
      </w:rPr>
      <w:fldChar w:fldCharType="begin"/>
    </w:r>
    <w:r>
      <w:rPr>
        <w:rFonts w:ascii="Arial" w:hAnsi="Arial" w:cs="Arial" w:eastAsia="Arial"/>
        <w:sz w:val="20"/>
        <w:szCs w:val="20"/>
      </w:rPr>
      <w:instrText xml:space="preserve"> NUMPAGES</w:instrText>
    </w:r>
    <w:r>
      <w:rPr>
        <w:rFonts w:ascii="Arial" w:hAnsi="Arial" w:cs="Arial" w:eastAsia="Arial"/>
        <w:sz w:val="20"/>
        <w:szCs w:val="20"/>
      </w:rPr>
      <w:fldChar w:fldCharType="end"/>
    </w:r>
  </w:p>
</w:ftr>
</file>

<file path=word/numbering.xml><?xml version="1.0" encoding="utf-8"?>
<w:numbering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>
  <w:abstractNum w:abstractNumId="0">
    <w:styleLink w:val="Word95 Simple Paragraph Numbering"/>
    <w:multiLevelType w:val="hybridMultilevel"/>
    <w:name w:val="Word95 Simple Paragraph Numbering"/>
    <w:lvl w:ilvl="0">
      <w:numFmt w:val="bullet"/>
      <w:lvlText w:val="· "/>
      <w:suff w:val="tab"/>
      <w:pPr>
        <w:ind w:left="0"/>
      </w:pPr>
      <w:rPr>
        <w:rFonts w:ascii="Symbol" w:hAnsi="Symbol" w:cs="Symbol" w:eastAsia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 w:val="bestFit"/>
  <w:defaultTabStop w:val="720"/>
  <w:characterSpacingControl w:val="compressPunctuation"/>
  <w:compat>
    <w:doNotUseHTMLParagraphAutoSpacing/>
    <w:compatSetting w:name="compatibilityMode" w:uri="http://schemas.microsoft.com/office/word" w:val="12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cs="Times New Roman" w:eastAsia="Times New Roman"/>
        <w:sz w:val="24"/>
        <w:szCs w:val="24"/>
      </w:rPr>
    </w:rPrDefault>
    <w:pPrDefault>
      <w:pPr>
        <w:spacing w:before="0" w:after="0" w:lineRule="auto" w:line="240"/>
      </w:pPr>
    </w:pPrDefault>
  </w:docDefaults>
  <w:style w:type="paragraph" w:styleId="heading 1">
    <w:name w:val="heading 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2">
    <w:name w:val="heading 2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3">
    <w:name w:val="heading 3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4">
    <w:name w:val="heading 4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5">
    <w:name w:val="heading 5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6">
    <w:name w:val="heading 6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numbering" w:styleId="Word95 Simple Paragraph Numbering">
    <w:name w:val="Word95 Simple Paragraph Numbering"/>
    <w:qFormat/>
  </w:style>
  <w:style w:type="paragraph" w:styleId="heading 11">
    <w:name w:val="heading 1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21">
    <w:name w:val="heading 2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31">
    <w:name w:val="heading 3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41">
    <w:name w:val="heading 4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51">
    <w:name w:val="heading 5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61">
    <w:name w:val="heading 6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obp3gkcf.png" Id="R83071cbadeb840b8" /><Relationship Type="http://schemas.openxmlformats.org/officeDocument/2006/relationships/image" Target="media/43qouu00.png" Id="R680486aee00a42d3" /><Relationship Type="http://schemas.openxmlformats.org/officeDocument/2006/relationships/footer" Target="footer1.xml" Id="Reeb5014bc98f4fce" /><Relationship Type="http://schemas.openxmlformats.org/officeDocument/2006/relationships/styles" Target="styles.xml" Id="Rda1cfdcf3fe04bcb" /><Relationship Type="http://schemas.openxmlformats.org/officeDocument/2006/relationships/numbering" Target="/word/numbering.xml" Id="Rc722ec8df9d9493c" /><Relationship Type="http://schemas.openxmlformats.org/officeDocument/2006/relationships/settings" Target="settings.xml" Id="R523e529bc0854b90" /></Relationships>
</file>

<file path=word/_rels/footer1.xml.rels>&#65279;<?xml version="1.0" encoding="utf-8"?><Relationships xmlns="http://schemas.openxmlformats.org/package/2006/relationships"><Relationship Type="http://schemas.openxmlformats.org/officeDocument/2006/relationships/image" Target="media/zabe5vsf.png" Id="R74d5b7791ddf474b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SautinSoft.HtmlToRtf v.7.4.4.30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ontentStatus>Created by the \'abHTML to RTF .Net\'bb 7.4.4.30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