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2ca1dc9bb294473" /><Relationship Type="http://schemas.openxmlformats.org/package/2006/relationships/metadata/core-properties" Target="/docProps/core.xml" Id="R309d8b3bff454f96" /><Relationship Type="http://schemas.openxmlformats.org/officeDocument/2006/relationships/extended-properties" Target="/docProps/app.xml" Id="Rca05133e503746ef" /><Relationship Type="http://schemas.openxmlformats.org/officeDocument/2006/relationships/custom-properties" Target="/docProps/custom.xml" Id="R36a2ba665d6d43e2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b w:val="1"/>
          <w:bCs w:val="1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36"/>
          <w:szCs w:val="36"/>
          <w:smallCaps w:val="0"/>
          <w:spacing w:val="0"/>
          <w:strike w:val="0"/>
          <w:u w:val="none"/>
        </w:rPr>
        <w:pStyle w:val="heading 3"/>
        <w:jc w:val="center"/>
        <w:keepLines w:val="0"/>
        <w:keepNext w:val="0"/>
        <w:ind w:firstLine="0" w:left="0" w:right="0"/>
        <w:spacing w:before="0" w:beforeAutospacing="0" w:after="321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1"/>
          <w:bCs w:val="1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36"/>
          <w:szCs w:val="36"/>
          <w:smallCaps w:val="0"/>
          <w:spacing w:val="0"/>
          <w:strike w:val="0"/>
          <w:u w:val="none"/>
        </w:rPr>
        <w:t>Решение № 467 от 9.12.2014 г. на ВКС по н. д. № 1531/2014 г., I н. о., НК, докладчик съдията Мина Топузова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990" w:left="0" w:right="0"/>
        <w:spacing w:before="12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чл. 343г НК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990" w:left="0" w:right="0"/>
        <w:spacing w:before="12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990" w:left="0" w:right="0"/>
        <w:spacing w:before="12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mc:AlternateContent>
          <mc:Choice Requires="wps">
            <w:drawing>
              <wp:inline>
                <wp:extent cx="1266190" cy="19050"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c16e8f3346ad40b7"/>
                        <a:stretch/>
                      </pic:blipFill>
                      <pic:spPr>
                        <a:xfrm rot="0">
                          <a:ext cx="1266190" cy="190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/>
        </mc:AlternateConten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990" w:left="0" w:right="0"/>
        <w:spacing w:before="12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Производството е по реда на чл. 420, ал. 1 от НПК.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Образувано е по искане на Главния прокурор на Република България за възобновяване на нохд № 119/14 г. на районен съд гр. Поморие. Като основание за това се сочи допуснато нарушение на закона, изразено в одобряване на споразумение, с което на осъдения П. В. Й. не е наложено кумулативно предвиденото наказание по чл. 343г от НК - "лишаване от право да управлява МПС". Предлага се да бъде отменено определението, с което е одобрено споразумението, а делото се върне за ново разглеждане на първоинстанционния съд.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В съдебно заседание на касационната инстанция искането се поддържа от представителя на ВКП със същите аргументи.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Защитникът на осъдения - адв. Ш. счита искането за основателно.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Осъденият Й., редовно призован, не се явява. Призовката е върната с отбелязване, че не желае да се яви пред касационния съд.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Върховният касационен съд на РБ, първо наказателно отделение, като съобрази становищата на страните и за да се произнесе взе предвид следното: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С определение от 02.06.2014 г. постановено по нохд № 119/14 г. на районен съд гр. Поморие, било одобрено споразумение между прокурор от районната прокуратура от една и страна и осъденият Й. и защитникът му адв. М. - от друга, с което П. Й. бил признат за виновен в това, че на 16.05.2014 г. около 22.45 ч. в [населено място], [община], област Б., управлявал моторно превозно средство - л. а. "Мерцедес 168 А" с рег. [рег. номер на МПС] с концентрация на алкохол в кръвта над 0.5 на хиляда - 2.43 промила, установено по надлежния ред с протокол от химическа експертиза, след като е осъждан многократно с влезли в сила присъди за управление на МПС с концентрация на алкохол в кръвта над 1.2 на хиляда, поради което и на основание чл. 343б, ал. 2 във вр. с ал. 1 от НК му било наложено наказание "лишаване от свобода" за срок от три месеца при първоначален "строг" режим в затвор или затворническо общежитие от закрит тип.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Искането за възобновяване е направено в срока по чл. 421, ал. 1 от НПК и е процесуално допустимо. Разгледано по същество е основателно.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Осъденият Й. е правоспособен водач на МПС, като свидетелството му за правоуправление е със срок на валидност до 25.02.2019 г. Обстоятелството, че със споразумение, одобрено с определение № 52 от 19.03.2014 г. на Ямболски районен съд, на Й., наред с наказание"пробация", е било наложено наказание по чл. 37, ал. 1, т. 7 от НК - "лишаване от право" да управлява МПС за срок от две години, не представлява загуба на правоспособност, а поставя временно ограничение за упражняването на това право.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Съгласно разпоредбата на чл. 343г от НК във всички случаи на чл. 343, чл. 343а, чл. 343б и чл. 343в, ал. 1 от НК съдът постановява и лишаване от право по чл. 37, ал. 1, т. 7 от НК. Въпреки, че в диспозитива на споразумението не е изрично посочено, че наказателната отговорност на осъдения е определена при условията на чл. 54 от НК, видът и размерът на наложеното наказание сочат на този извод. След като наказателната отговорност не е била определена при условията на чл. 55, ал. 2 от НК чрез замяната на наказанието "лишаване от свобода" с пробация, е била налице принципна невъзможност по смисъла на чл. 55, ал. 3 от НК да не се наложи по - лекото наказание, предвидено наред с лишаването от свобода. В сключеното между страните споразумение, осъденият се е съгласил да изтърпи единствено наказанието "лишаване от свобода". Наличните предпоставки в закона за налагане и на кумулативно предвиденото наказание "лишаване от право" да се управлява МПС са представлявали пречка за одобряване на споразумението във вида, предложен от страните. Като е одобрил това споразумение, съдът е допуснал нарушение на закона.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Допуснатото нарушение следва да бъде отстранено по реда на възобновяването чрез отмяна на постановеното от първоинстанционния съд определение за одобряване на споразумението и връщане на делото за ново разглеждане от друг състав на районния съд.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При новото разглеждане следва да бъде съобразено обстоятелството, че в нормата на чл. 343б, ал. 2 от НК е предвидена също кумулативна санкция "глоба" от сто до триста лева, която санкция с оглед принципа за "reformatio in pejus" не би могла да бъде наложена, тъй като такава претенция липсва в искането за възобновяване.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Предвид изложеното и на основание чл. 425, ал. 1, т. 1 от НПК Върховният касационен съд на РБ, първо наказателно отделение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РЕШИ: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ОТМЕНЯ по реда на възобновяването определение от 02.06.2014 г., с което е одобрено споразумение между прокурор от районна прокуратура [населено място], осъдения П. В. Й. и защитника му и прекратено наказателното производство по нохд № 119/14 г. на районен съд гр. Поморие.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ВРЪЩА делото на районен съд гр. Поморие за ново разглеждане от друг състав от стадия на съдебното заседание.</w:t>
      </w:r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1" w:orient="portrait" w:w="12241"/>
      <w:pgMar w:bottom="1134" w:footer="720" w:gutter="0" w:header="720" w:left="1134" w:right="1134" w:top="1134"/>
      <w:pgNumType w:fmt="decimal"/>
      <w:cols w:equalWidth="1" w:num="1" w:space="708" w:sep="0"/>
      <w:footerReference w:type="default" r:id="R3328447af5554c86"/>
    </w:sectPr>
  </w:body>
</w:document>
</file>

<file path=word/footer1.xml><?xml version="1.0" encoding="utf-8"?>
<w:ft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tbl>
    <w:tblPr>
      <w:jc w:val="left"/>
      <w:tblLayout w:type="fixed"/>
      <w:tblCellMar>
        <w:left w:type="dxa" w:w="0"/>
        <w:top w:type="dxa" w:w="0"/>
        <w:right w:type="dxa" w:w="0"/>
        <w:bottom w:type="dxa" w:w="0"/>
      </w:tblCellMar>
      <w:tblInd w:type="dxa" w:w="0"/>
      <w:tblW w:type="dxa" w:w="9943"/>
    </w:tblPr>
    <w:tblGrid>
      <w:gridCol w:w="518"/>
      <w:gridCol w:w="9425"/>
    </w:tblGrid>
    <w:tr>
      <w:trPr>
        <w:cantSplit w:val="0"/>
        <w:trHeight w:hRule="atLeast" w:val="375"/>
        <w:gridAfter w:val="0"/>
        <w:gridBefore w:val="0"/>
      </w:trPr>
      <w:tc>
        <w:tcPr>
          <w:tcW w:type="dxa" w:w="518"/>
          <w:vAlign w:val="center"/>
          <w:tcBorders>
            <w:left w:val="nil"/>
            <w:top w:val="single" w:sz="6" w:space="0" w:color="BDBDBD"/>
            <w:right w:val="nil"/>
            <w:bottom w:val="nil"/>
            <w:insideH w:val="nil"/>
            <w:insideV w:val="nil"/>
            <w:tl2br w:val="nil"/>
            <w:tr2bl w:val="nil"/>
          </w:tcBorders>
        </w:tcPr>
        <w:p>
          <w:pP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5"/>
              <w:szCs w:val="15"/>
              <w:smallCaps w:val="0"/>
              <w:spacing w:val="0"/>
              <w:strike w:val="0"/>
              <w:u w:val="none"/>
            </w:rPr>
            <w:jc w:val="left"/>
            <w:keepLines w:val="0"/>
            <w:keepNext w:val="0"/>
            <w:ind w:firstLine="0" w:left="0" w:right="150"/>
            <w:spacing w:before="75" w:beforeAutospacing="0" w:after="0" w:afterAutospacing="0" w:lineRule="auto" w:line="240"/>
            <w:mirrorIndents w:val="0"/>
            <w:contextualSpacing w:val="0"/>
            <w:pageBreakBefore w:val="0"/>
            <w:bidi w:val="0"/>
            <w:widowControl w:val="1"/>
          </w:pPr>
          <w:r>
            <w:rPr>
              <w:b w:val="0"/>
              <w:bCs w:val="0"/>
              <w:bdr w:val="none" w:sz="0" w:space="0" w:color="auto"/>
              <w:caps w:val="0"/>
              <w:color w:val="auto"/>
              <w:dstrike w:val="0"/>
              <w:rFonts w:ascii="Times New Roman" w:hAnsi="Times New Roman" w:cs="Times New Roman" w:eastAsia="Times New Roman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24"/>
              <w:szCs w:val="24"/>
              <w:smallCaps w:val="0"/>
              <w:spacing w:val="0"/>
              <w:strike w:val="0"/>
              <w:u w:val="none"/>
            </w:rPr>
            <mc:AlternateContent>
              <mc:Choice Requires="wps">
                <w:drawing>
                  <wp:inline>
                    <wp:extent cx="290830" cy="207645"/>
                    <wp:docPr id="3" name="drawingObject3"/>
                    <wp:cNvGraphicFramePr/>
                    <a:graphic>
                      <a:graphicData uri="http://schemas.openxmlformats.org/drawingml/2006/picture">
                        <pic:pic>
                          <pic:nvPicPr>
                            <pic:cNvPr id="4" name="Picture 4"/>
                            <pic:cNvPicPr/>
                          </pic:nvPicPr>
                          <pic:blipFill>
                            <a:blip r:embed="R3a746d2d8426417b"/>
                            <a:stretch/>
                          </pic:blipFill>
                          <pic:spPr>
                            <a:xfrm rot="0">
                              <a:ext cx="290830" cy="2076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mc:Choice>
              <mc:Fallback/>
            </mc:AlternateContent>
          </w:r>
          <w: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5"/>
              <w:szCs w:val="15"/>
              <w:smallCaps w:val="0"/>
              <w:spacing w:val="0"/>
              <w:strike w:val="0"/>
              <w:u w:val="none"/>
            </w:rPr>
            <w:t xml:space="preserve"> </w:t>
          </w:r>
        </w:p>
      </w:tc>
      <w:tc>
        <w:tcPr>
          <w:tcW w:type="dxa" w:w="9425"/>
          <w:vAlign w:val="center"/>
          <w:tcBorders>
            <w:left w:val="nil"/>
            <w:top w:val="single" w:sz="6" w:space="0" w:color="BDBDBD"/>
            <w:right w:val="nil"/>
            <w:bottom w:val="nil"/>
            <w:insideH w:val="nil"/>
            <w:insideV w:val="nil"/>
            <w:tl2br w:val="nil"/>
            <w:tr2bl w:val="nil"/>
          </w:tcBorders>
        </w:tcPr>
        <w:p>
          <w:pP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8"/>
              <w:szCs w:val="18"/>
              <w:smallCaps w:val="0"/>
              <w:spacing w:val="0"/>
              <w:strike w:val="0"/>
              <w:u w:val="none"/>
            </w:rPr>
            <w:jc w:val="left"/>
            <w:keepLines w:val="0"/>
            <w:keepNext w:val="0"/>
            <w:ind w:firstLine="0" w:left="0" w:right="0"/>
            <w:spacing w:before="0" w:beforeAutospacing="0" w:after="0" w:afterAutospacing="0" w:lineRule="auto" w:line="240"/>
            <w:mirrorIndents w:val="0"/>
            <w:contextualSpacing w:val="0"/>
            <w:pageBreakBefore w:val="0"/>
            <w:bidi w:val="0"/>
            <w:widowControl w:val="1"/>
          </w:pPr>
          <w: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8"/>
              <w:szCs w:val="18"/>
              <w:smallCaps w:val="0"/>
              <w:spacing w:val="0"/>
              <w:strike w:val="0"/>
              <w:u w:val="none"/>
            </w:rPr>
            <w:t xml:space="preserve">Информационна система АПИС </w:t>
          </w:r>
          <w: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8"/>
              <w:szCs w:val="18"/>
              <w:smallCaps w:val="0"/>
              <w:spacing w:val="0"/>
              <w:strike w:val="0"/>
              <w:u w:val="none"/>
            </w:rPr>
            <w:br w:type="textWrapping"/>
          </w:r>
          <w: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5"/>
              <w:szCs w:val="15"/>
              <w:smallCaps w:val="0"/>
              <w:spacing w:val="0"/>
              <w:strike w:val="0"/>
              <w:u w:val="none"/>
            </w:rPr>
            <w:t>https://web.apis.bg</w:t>
          </w:r>
          <w: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8"/>
              <w:szCs w:val="18"/>
              <w:smallCaps w:val="0"/>
              <w:spacing w:val="0"/>
              <w:strike w:val="0"/>
              <w:u w:val="none"/>
            </w:rPr>
            <w:t xml:space="preserve"> </w:t>
          </w:r>
        </w:p>
      </w:tc>
    </w:tr>
  </w:tbl>
  <w:p>
    <w:pPr>
      <w:jc w:val="right"/>
    </w:pPr>
    <w:r>
      <w:rPr>
        <w:rFonts w:ascii="Arial" w:hAnsi="Arial" w:cs="Arial" w:eastAsia="Arial"/>
        <w:sz w:val="20"/>
        <w:szCs w:val="20"/>
      </w:rPr>
      <w:t xml:space="preserve">стр. </w:t>
    </w:r>
    <w:r>
      <w:rPr>
        <w:rFonts w:ascii="Arial" w:hAnsi="Arial" w:cs="Arial" w:eastAsia="Arial"/>
        <w:sz w:val="20"/>
        <w:szCs w:val="20"/>
      </w:rPr>
      <w:fldChar w:fldCharType="begin"/>
    </w:r>
    <w:r>
      <w:rPr>
        <w:rFonts w:ascii="Arial" w:hAnsi="Arial" w:cs="Arial" w:eastAsia="Arial"/>
        <w:sz w:val="20"/>
        <w:szCs w:val="20"/>
      </w:rPr>
      <w:instrText xml:space="preserve"> PAGE</w:instrText>
    </w:r>
    <w:r>
      <w:rPr>
        <w:rFonts w:ascii="Arial" w:hAnsi="Arial" w:cs="Arial" w:eastAsia="Arial"/>
        <w:sz w:val="20"/>
        <w:szCs w:val="20"/>
      </w:rPr>
      <w:fldChar w:fldCharType="end"/>
    </w:r>
    <w:r>
      <w:rPr>
        <w:rFonts w:ascii="Arial" w:hAnsi="Arial" w:cs="Arial" w:eastAsia="Arial"/>
        <w:sz w:val="20"/>
        <w:szCs w:val="20"/>
      </w:rPr>
      <w:t xml:space="preserve"> от </w:t>
    </w:r>
    <w:r>
      <w:rPr>
        <w:rFonts w:ascii="Arial" w:hAnsi="Arial" w:cs="Arial" w:eastAsia="Arial"/>
        <w:sz w:val="20"/>
        <w:szCs w:val="20"/>
      </w:rPr>
      <w:fldChar w:fldCharType="begin"/>
    </w:r>
    <w:r>
      <w:rPr>
        <w:rFonts w:ascii="Arial" w:hAnsi="Arial" w:cs="Arial" w:eastAsia="Arial"/>
        <w:sz w:val="20"/>
        <w:szCs w:val="20"/>
      </w:rPr>
      <w:instrText xml:space="preserve"> NUMPAGES</w:instrText>
    </w:r>
    <w:r>
      <w:rPr>
        <w:rFonts w:ascii="Arial" w:hAnsi="Arial" w:cs="Arial" w:eastAsia="Arial"/>
        <w:sz w:val="20"/>
        <w:szCs w:val="20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 w:val="bestFit"/>
  <w:defaultTabStop w:val="720"/>
  <w:characterSpacingControl w:val="compressPunctuation"/>
  <w:compat>
    <w:doNotUseHTMLParagraphAutoSpacing/>
    <w:compatSetting w:name="compatibilityMode" w:uri="http://schemas.microsoft.com/office/word" w:val="12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cs="Times New Roman" w:eastAsia="Times New Roman"/>
        <w:sz w:val="24"/>
        <w:szCs w:val="24"/>
      </w:rPr>
    </w:rPrDefault>
    <w:pPrDefault>
      <w:pPr>
        <w:spacing w:before="0" w:after="0" w:lineRule="auto" w:line="240"/>
      </w:pPr>
    </w:pPrDefault>
  </w:docDefaults>
  <w:style w:type="paragraph" w:styleId="heading 1">
    <w:name w:val="heading 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2">
    <w:name w:val="heading 2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3">
    <w:name w:val="heading 3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4">
    <w:name w:val="heading 4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5">
    <w:name w:val="heading 5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6">
    <w:name w:val="heading 6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11">
    <w:name w:val="heading 1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21">
    <w:name w:val="heading 2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31">
    <w:name w:val="heading 3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41">
    <w:name w:val="heading 4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51">
    <w:name w:val="heading 5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61">
    <w:name w:val="heading 6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biovaj3t.png" Id="Rc16e8f3346ad40b7" /><Relationship Type="http://schemas.openxmlformats.org/officeDocument/2006/relationships/footer" Target="footer1.xml" Id="R3328447af5554c86" /><Relationship Type="http://schemas.openxmlformats.org/officeDocument/2006/relationships/styles" Target="styles.xml" Id="R03a6bc41d5a54847" /><Relationship Type="http://schemas.openxmlformats.org/officeDocument/2006/relationships/settings" Target="settings.xml" Id="R1ad7d5dd8c204d5a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media/a54dxdeg.png" Id="R3a746d2d8426417b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SautinSoft.HtmlToRtf v.7.4.4.30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ontentStatus>Created by the \'abHTML to RTF .Net\'bb 7.4.4.30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