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3BC" w:rsidRDefault="006E3CBC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Решение</w:t>
      </w:r>
      <w:proofErr w:type="spellEnd"/>
      <w:r>
        <w:rPr>
          <w:b/>
          <w:bCs/>
          <w:sz w:val="36"/>
          <w:szCs w:val="36"/>
        </w:rPr>
        <w:t xml:space="preserve"> № 243 </w:t>
      </w:r>
      <w:proofErr w:type="spellStart"/>
      <w:r>
        <w:rPr>
          <w:b/>
          <w:bCs/>
          <w:sz w:val="36"/>
          <w:szCs w:val="36"/>
        </w:rPr>
        <w:t>от</w:t>
      </w:r>
      <w:proofErr w:type="spellEnd"/>
      <w:r>
        <w:rPr>
          <w:b/>
          <w:bCs/>
          <w:sz w:val="36"/>
          <w:szCs w:val="36"/>
        </w:rPr>
        <w:t xml:space="preserve"> 18.07.2014 г. </w:t>
      </w:r>
      <w:proofErr w:type="spellStart"/>
      <w:r>
        <w:rPr>
          <w:b/>
          <w:bCs/>
          <w:sz w:val="36"/>
          <w:szCs w:val="36"/>
        </w:rPr>
        <w:t>на</w:t>
      </w:r>
      <w:proofErr w:type="spellEnd"/>
      <w:r>
        <w:rPr>
          <w:b/>
          <w:bCs/>
          <w:sz w:val="36"/>
          <w:szCs w:val="36"/>
        </w:rPr>
        <w:t xml:space="preserve"> ВКС </w:t>
      </w:r>
      <w:proofErr w:type="spellStart"/>
      <w:r>
        <w:rPr>
          <w:b/>
          <w:bCs/>
          <w:sz w:val="36"/>
          <w:szCs w:val="36"/>
        </w:rPr>
        <w:t>по</w:t>
      </w:r>
      <w:proofErr w:type="spellEnd"/>
      <w:r>
        <w:rPr>
          <w:b/>
          <w:bCs/>
          <w:sz w:val="36"/>
          <w:szCs w:val="36"/>
        </w:rPr>
        <w:t xml:space="preserve"> н. д. № 671/2014 </w:t>
      </w:r>
      <w:proofErr w:type="gramStart"/>
      <w:r>
        <w:rPr>
          <w:b/>
          <w:bCs/>
          <w:sz w:val="36"/>
          <w:szCs w:val="36"/>
        </w:rPr>
        <w:t>г.,</w:t>
      </w:r>
      <w:proofErr w:type="gramEnd"/>
      <w:r>
        <w:rPr>
          <w:b/>
          <w:bCs/>
          <w:sz w:val="36"/>
          <w:szCs w:val="36"/>
        </w:rPr>
        <w:t xml:space="preserve"> III н. о., НК, </w:t>
      </w:r>
      <w:proofErr w:type="spellStart"/>
      <w:r>
        <w:rPr>
          <w:b/>
          <w:bCs/>
          <w:sz w:val="36"/>
          <w:szCs w:val="36"/>
        </w:rPr>
        <w:t>докладчик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съдията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Красимир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Шекерджиев</w:t>
      </w:r>
      <w:proofErr w:type="spellEnd"/>
    </w:p>
    <w:p w:rsidR="007073BC" w:rsidRDefault="006E3CBC">
      <w:pPr>
        <w:spacing w:before="120"/>
        <w:ind w:firstLine="990"/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</w:t>
      </w:r>
    </w:p>
    <w:p w:rsidR="007073BC" w:rsidRDefault="006E3CBC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8,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</w:t>
      </w:r>
    </w:p>
    <w:p w:rsidR="007073BC" w:rsidRDefault="006E3CBC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15,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</w:t>
      </w:r>
    </w:p>
    <w:p w:rsidR="007073BC" w:rsidRDefault="006E3CBC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16,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</w:t>
      </w:r>
    </w:p>
    <w:p w:rsidR="007073BC" w:rsidRDefault="006E3CBC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20,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2 </w:t>
      </w:r>
      <w:proofErr w:type="spellStart"/>
      <w:r>
        <w:rPr>
          <w:lang w:val="en-US"/>
        </w:rPr>
        <w:t>ЗДвП</w:t>
      </w:r>
      <w:proofErr w:type="spellEnd"/>
      <w:r>
        <w:rPr>
          <w:lang w:val="en-US"/>
        </w:rPr>
        <w:t>,</w:t>
      </w:r>
    </w:p>
    <w:p w:rsidR="007073BC" w:rsidRDefault="006E3CBC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б. "б",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</w:t>
      </w:r>
    </w:p>
    <w:p w:rsidR="007073BC" w:rsidRDefault="006E3CBC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 НК</w:t>
      </w:r>
    </w:p>
    <w:p w:rsidR="007073BC" w:rsidRDefault="007073BC">
      <w:pPr>
        <w:rPr>
          <w:lang w:val="en-US"/>
        </w:rPr>
      </w:pPr>
    </w:p>
    <w:p w:rsidR="007073BC" w:rsidRDefault="007073BC">
      <w:pPr>
        <w:spacing w:before="120"/>
        <w:ind w:firstLine="990"/>
        <w:rPr>
          <w:lang w:val="en-US"/>
        </w:rPr>
      </w:pPr>
      <w:bookmarkStart w:id="0" w:name="_GoBack"/>
      <w:bookmarkEnd w:id="0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Производството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ВКС е </w:t>
      </w:r>
      <w:proofErr w:type="spellStart"/>
      <w:r>
        <w:rPr>
          <w:lang w:val="en-US"/>
        </w:rPr>
        <w:t>образувано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РБ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срещу</w:t>
      </w:r>
      <w:proofErr w:type="spellEnd"/>
      <w:r>
        <w:rPr>
          <w:lang w:val="en-US"/>
        </w:rPr>
        <w:t xml:space="preserve"> Ц. И. К.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НОХД № 281/2013 г.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описа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гр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Своге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 </w:t>
      </w:r>
      <w:proofErr w:type="spellStart"/>
      <w:r>
        <w:rPr>
          <w:lang w:val="en-US"/>
        </w:rPr>
        <w:t>определение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18.11.2013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постановено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382,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7 НПК е </w:t>
      </w:r>
      <w:proofErr w:type="spellStart"/>
      <w:r>
        <w:rPr>
          <w:lang w:val="en-US"/>
        </w:rPr>
        <w:t>одобрено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постигнатото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между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РП - </w:t>
      </w:r>
      <w:proofErr w:type="spellStart"/>
      <w:r>
        <w:rPr>
          <w:lang w:val="en-US"/>
        </w:rPr>
        <w:t>гр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Своге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защитника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</w:t>
      </w:r>
      <w:proofErr w:type="spellEnd"/>
      <w:r>
        <w:rPr>
          <w:lang w:val="en-US"/>
        </w:rPr>
        <w:t xml:space="preserve"> К.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глава</w:t>
      </w:r>
      <w:proofErr w:type="spellEnd"/>
      <w:r>
        <w:rPr>
          <w:lang w:val="en-US"/>
        </w:rPr>
        <w:t xml:space="preserve"> ХХIХ НПК, 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признал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виновен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10.08.2013 г.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път</w:t>
      </w:r>
      <w:proofErr w:type="spellEnd"/>
      <w:r>
        <w:rPr>
          <w:lang w:val="en-US"/>
        </w:rPr>
        <w:t xml:space="preserve"> II-16 в </w:t>
      </w:r>
      <w:proofErr w:type="spellStart"/>
      <w:r>
        <w:rPr>
          <w:lang w:val="en-US"/>
        </w:rPr>
        <w:t>землище</w:t>
      </w:r>
      <w:r>
        <w:rPr>
          <w:lang w:val="en-US"/>
        </w:rPr>
        <w:t>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[</w:t>
      </w:r>
      <w:proofErr w:type="spellStart"/>
      <w:r>
        <w:rPr>
          <w:lang w:val="en-US"/>
        </w:rPr>
        <w:t>населено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],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управление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МПС </w:t>
      </w:r>
      <w:proofErr w:type="spellStart"/>
      <w:r>
        <w:rPr>
          <w:lang w:val="en-US"/>
        </w:rPr>
        <w:t>лек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автомобил</w:t>
      </w:r>
      <w:proofErr w:type="spellEnd"/>
      <w:r>
        <w:rPr>
          <w:lang w:val="en-US"/>
        </w:rPr>
        <w:t xml:space="preserve"> "</w:t>
      </w:r>
      <w:proofErr w:type="spellStart"/>
      <w:r>
        <w:rPr>
          <w:lang w:val="en-US"/>
        </w:rPr>
        <w:t>Ауди</w:t>
      </w:r>
      <w:proofErr w:type="spellEnd"/>
      <w:r>
        <w:rPr>
          <w:lang w:val="en-US"/>
        </w:rPr>
        <w:t xml:space="preserve"> А4" с ДК [</w:t>
      </w:r>
      <w:proofErr w:type="spellStart"/>
      <w:r>
        <w:rPr>
          <w:lang w:val="en-US"/>
        </w:rPr>
        <w:t>рег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номер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МПС] </w:t>
      </w:r>
      <w:proofErr w:type="spellStart"/>
      <w:r>
        <w:rPr>
          <w:lang w:val="en-US"/>
        </w:rPr>
        <w:t>нарушил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8,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16,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и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20,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 </w:t>
      </w:r>
      <w:proofErr w:type="spellStart"/>
      <w:r>
        <w:rPr>
          <w:lang w:val="en-US"/>
        </w:rPr>
        <w:t>ЗДвП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непредпазливост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причинил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Б. И. Л. </w:t>
      </w:r>
      <w:proofErr w:type="spellStart"/>
      <w:r>
        <w:rPr>
          <w:lang w:val="en-US"/>
        </w:rPr>
        <w:t>средна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телесна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повреда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</w:t>
      </w:r>
      <w:r>
        <w:rPr>
          <w:lang w:val="en-US"/>
        </w:rPr>
        <w:t>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б. "б",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 НК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наложено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"пробация"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пробационни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</w:t>
      </w:r>
      <w:proofErr w:type="spellEnd"/>
      <w:r>
        <w:rPr>
          <w:lang w:val="en-US"/>
        </w:rPr>
        <w:t xml:space="preserve"> - "</w:t>
      </w:r>
      <w:proofErr w:type="spellStart"/>
      <w:r>
        <w:rPr>
          <w:lang w:val="en-US"/>
        </w:rPr>
        <w:t>задължителна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регистрация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настоящ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адрес</w:t>
      </w:r>
      <w:proofErr w:type="spellEnd"/>
      <w:r>
        <w:rPr>
          <w:lang w:val="en-US"/>
        </w:rPr>
        <w:t xml:space="preserve">"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шест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месеца</w:t>
      </w:r>
      <w:proofErr w:type="spellEnd"/>
      <w:r>
        <w:rPr>
          <w:lang w:val="en-US"/>
        </w:rPr>
        <w:t xml:space="preserve"> и "</w:t>
      </w:r>
      <w:proofErr w:type="spellStart"/>
      <w:r>
        <w:rPr>
          <w:lang w:val="en-US"/>
        </w:rPr>
        <w:t>задължителни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периодични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пробационен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служител</w:t>
      </w:r>
      <w:proofErr w:type="spellEnd"/>
      <w:r>
        <w:rPr>
          <w:lang w:val="en-US"/>
        </w:rPr>
        <w:t xml:space="preserve">"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</w:t>
      </w:r>
      <w:r>
        <w:rPr>
          <w:lang w:val="en-US"/>
        </w:rPr>
        <w:t>к</w:t>
      </w:r>
      <w:proofErr w:type="spellEnd"/>
      <w:r>
        <w:rPr>
          <w:lang w:val="en-US"/>
        </w:rPr>
        <w:t>.</w:t>
      </w:r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Със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прекратено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</w:t>
      </w:r>
      <w:proofErr w:type="spellEnd"/>
      <w:r>
        <w:rPr>
          <w:lang w:val="en-US"/>
        </w:rPr>
        <w:t xml:space="preserve"> К.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поддържа</w:t>
      </w:r>
      <w:proofErr w:type="spellEnd"/>
      <w:r>
        <w:rPr>
          <w:lang w:val="en-US"/>
        </w:rPr>
        <w:t xml:space="preserve">, че с </w:t>
      </w:r>
      <w:proofErr w:type="spellStart"/>
      <w:r>
        <w:rPr>
          <w:lang w:val="en-US"/>
        </w:rPr>
        <w:t>одобряване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постигнатото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съдът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допуснал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процесуални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правила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изяснил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факти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свързани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предмета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</w:t>
      </w:r>
      <w:r>
        <w:rPr>
          <w:lang w:val="en-US"/>
        </w:rPr>
        <w:t>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дали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момента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извършване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инкриминираното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деяние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правоспособен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водач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МПС.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Твърди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този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факт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значение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приложението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разпоредбата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343г НК и </w:t>
      </w:r>
      <w:proofErr w:type="spellStart"/>
      <w:r>
        <w:rPr>
          <w:lang w:val="en-US"/>
        </w:rPr>
        <w:t>конкретно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кумулативно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предвиденото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"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управлява</w:t>
      </w:r>
      <w:proofErr w:type="spellEnd"/>
      <w:r>
        <w:rPr>
          <w:lang w:val="en-US"/>
        </w:rPr>
        <w:t xml:space="preserve"> МПС".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предлага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приключилото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възобновено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постановеното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отменено</w:t>
      </w:r>
      <w:proofErr w:type="spellEnd"/>
      <w:r>
        <w:rPr>
          <w:lang w:val="en-US"/>
        </w:rPr>
        <w:t xml:space="preserve">, а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друг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РС - </w:t>
      </w:r>
      <w:proofErr w:type="spellStart"/>
      <w:r>
        <w:rPr>
          <w:lang w:val="en-US"/>
        </w:rPr>
        <w:t>гр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Своге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х</w:t>
      </w:r>
      <w:r>
        <w:rPr>
          <w:lang w:val="en-US"/>
        </w:rPr>
        <w:t>ода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представителят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държавното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обвинение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поддържа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повторно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възпроизвежда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доводите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отразени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 К.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явява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редовно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уведомен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изпраща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процесуален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представител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допустимостта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искането</w:t>
      </w:r>
      <w:proofErr w:type="spell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Настоящото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подадено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срока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421 НПК и с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атакува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проверяван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защо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същото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допустимо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разгледано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същество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r>
        <w:rPr>
          <w:lang w:val="en-US"/>
        </w:rPr>
        <w:lastRenderedPageBreak/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основателността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искането</w:t>
      </w:r>
      <w:proofErr w:type="spell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Разгледано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r>
        <w:rPr>
          <w:lang w:val="en-US"/>
        </w:rPr>
        <w:t>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неоснователно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Касационният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възприе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оплакването</w:t>
      </w:r>
      <w:proofErr w:type="spellEnd"/>
      <w:r>
        <w:rPr>
          <w:lang w:val="en-US"/>
        </w:rPr>
        <w:t xml:space="preserve">, че с </w:t>
      </w:r>
      <w:proofErr w:type="spellStart"/>
      <w:r>
        <w:rPr>
          <w:lang w:val="en-US"/>
        </w:rPr>
        <w:t>одобряване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постигнатото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между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РП - </w:t>
      </w:r>
      <w:proofErr w:type="spellStart"/>
      <w:r>
        <w:rPr>
          <w:lang w:val="en-US"/>
        </w:rPr>
        <w:t>Своге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защитника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</w:t>
      </w:r>
      <w:proofErr w:type="spellEnd"/>
      <w:r>
        <w:rPr>
          <w:lang w:val="en-US"/>
        </w:rPr>
        <w:t xml:space="preserve"> К.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процесуални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правила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Действит</w:t>
      </w:r>
      <w:r>
        <w:rPr>
          <w:lang w:val="en-US"/>
        </w:rPr>
        <w:t>елно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хода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досъдебното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събрани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доказателства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установят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несъмнен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категоричен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начин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инкриминираната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дата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правоспособен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водач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МПС, </w:t>
      </w:r>
      <w:proofErr w:type="spellStart"/>
      <w:r>
        <w:rPr>
          <w:lang w:val="en-US"/>
        </w:rPr>
        <w:t>респективно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дали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следвало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наложено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предвиденото</w:t>
      </w:r>
      <w:proofErr w:type="spellEnd"/>
      <w:r>
        <w:rPr>
          <w:lang w:val="en-US"/>
        </w:rPr>
        <w:t xml:space="preserve"> в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343г НК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"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управлява</w:t>
      </w:r>
      <w:proofErr w:type="spellEnd"/>
      <w:r>
        <w:rPr>
          <w:lang w:val="en-US"/>
        </w:rPr>
        <w:t xml:space="preserve"> МПС".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обстоятелство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преценено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допуснато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процесуални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правила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смисъла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348,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 НПК,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изясняването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изцяло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правомощ</w:t>
      </w:r>
      <w:r>
        <w:rPr>
          <w:lang w:val="en-US"/>
        </w:rPr>
        <w:t>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държавното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обвинение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осъществява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наред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основната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обвинителна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функция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функция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ръководство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контрол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досъдебната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фаза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процеса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съдът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сезиран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одобряване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382,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7 НПК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</w:t>
      </w:r>
      <w:r>
        <w:rPr>
          <w:lang w:val="en-US"/>
        </w:rPr>
        <w:t>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прекратяване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задължение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констатира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допуснати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предложи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отстраняването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сключването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постигнатото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между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съгласие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закона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С </w:t>
      </w:r>
      <w:proofErr w:type="spellStart"/>
      <w:r>
        <w:rPr>
          <w:lang w:val="en-US"/>
        </w:rPr>
        <w:t>неналаганет</w:t>
      </w:r>
      <w:r>
        <w:rPr>
          <w:lang w:val="en-US"/>
        </w:rPr>
        <w:t>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предвиденото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343г НК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когато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обвиняемият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правоспособен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водач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МПС и </w:t>
      </w:r>
      <w:proofErr w:type="spellStart"/>
      <w:r>
        <w:rPr>
          <w:lang w:val="en-US"/>
        </w:rPr>
        <w:t>когато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НК.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втората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хипотеза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 НК </w:t>
      </w:r>
      <w:proofErr w:type="spellStart"/>
      <w:r>
        <w:rPr>
          <w:lang w:val="en-US"/>
        </w:rPr>
        <w:t>предвиденото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по-лекото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постигнатото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противоречи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закона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защо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прецени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няма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приключилото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</w:t>
      </w:r>
      <w:r>
        <w:rPr>
          <w:lang w:val="en-US"/>
        </w:rPr>
        <w:t>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неговия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ход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процесуални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правила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постигнатото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нарушава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последно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посочено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държавното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обвинение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имало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възможност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събере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необходими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правилното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доказателства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рамките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досъдебното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В </w:t>
      </w:r>
      <w:proofErr w:type="spellStart"/>
      <w:r>
        <w:rPr>
          <w:lang w:val="en-US"/>
        </w:rPr>
        <w:t>конкретното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държавното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обвинение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</w:t>
      </w:r>
      <w:r>
        <w:rPr>
          <w:lang w:val="en-US"/>
        </w:rPr>
        <w:t>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преценило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установи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правоспособен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водач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но</w:t>
      </w:r>
      <w:proofErr w:type="spellEnd"/>
      <w:r>
        <w:rPr>
          <w:lang w:val="en-US"/>
        </w:rPr>
        <w:t xml:space="preserve"> и е </w:t>
      </w:r>
      <w:proofErr w:type="spellStart"/>
      <w:r>
        <w:rPr>
          <w:lang w:val="en-US"/>
        </w:rPr>
        <w:t>приело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събраните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доказателства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достатъчни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възползвало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възможностите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посочени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глава</w:t>
      </w:r>
      <w:proofErr w:type="spellEnd"/>
      <w:r>
        <w:rPr>
          <w:lang w:val="en-US"/>
        </w:rPr>
        <w:t xml:space="preserve"> ХХIХ НПК,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сключило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защ</w:t>
      </w:r>
      <w:r>
        <w:rPr>
          <w:lang w:val="en-US"/>
        </w:rPr>
        <w:t>итника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К. </w:t>
      </w:r>
      <w:proofErr w:type="spellStart"/>
      <w:r>
        <w:rPr>
          <w:lang w:val="en-US"/>
        </w:rPr>
        <w:t>Едва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одобрението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компетентен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прокуратурата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преценила</w:t>
      </w:r>
      <w:proofErr w:type="spellEnd"/>
      <w:r>
        <w:rPr>
          <w:lang w:val="en-US"/>
        </w:rPr>
        <w:t xml:space="preserve">, че е </w:t>
      </w:r>
      <w:proofErr w:type="spellStart"/>
      <w:r>
        <w:rPr>
          <w:lang w:val="en-US"/>
        </w:rPr>
        <w:t>допуснат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пропуск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решаващия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връзка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събиране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доказателства</w:t>
      </w:r>
      <w:proofErr w:type="spellEnd"/>
      <w:r>
        <w:rPr>
          <w:lang w:val="en-US"/>
        </w:rPr>
        <w:t xml:space="preserve"> и е </w:t>
      </w:r>
      <w:proofErr w:type="spellStart"/>
      <w:r>
        <w:rPr>
          <w:lang w:val="en-US"/>
        </w:rPr>
        <w:t>инициирала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настоящото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инстанция</w:t>
      </w:r>
      <w:proofErr w:type="spellEnd"/>
      <w:r>
        <w:rPr>
          <w:lang w:val="en-US"/>
        </w:rPr>
        <w:t>.</w:t>
      </w:r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Подобно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уважено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производството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381 и </w:t>
      </w:r>
      <w:proofErr w:type="spellStart"/>
      <w:r>
        <w:rPr>
          <w:lang w:val="en-US"/>
        </w:rPr>
        <w:t>сл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НПК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съществува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задължение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събира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доказателства</w:t>
      </w:r>
      <w:proofErr w:type="spellEnd"/>
      <w:r>
        <w:rPr>
          <w:lang w:val="en-US"/>
        </w:rPr>
        <w:t xml:space="preserve">, а и с </w:t>
      </w:r>
      <w:proofErr w:type="spellStart"/>
      <w:r>
        <w:rPr>
          <w:lang w:val="en-US"/>
        </w:rPr>
        <w:t>одобреното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, 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приключило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срещу</w:t>
      </w:r>
      <w:proofErr w:type="spellEnd"/>
      <w:r>
        <w:rPr>
          <w:lang w:val="en-US"/>
        </w:rPr>
        <w:t xml:space="preserve"> К.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допуснати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</w:t>
      </w:r>
      <w:r>
        <w:rPr>
          <w:lang w:val="en-US"/>
        </w:rPr>
        <w:t>роцесуалния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, а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приложен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правилно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r>
        <w:rPr>
          <w:lang w:val="en-US"/>
        </w:rPr>
        <w:t>Така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мотивиран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Върховният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Трето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отделение</w:t>
      </w:r>
      <w:proofErr w:type="spellEnd"/>
    </w:p>
    <w:p w:rsidR="007073BC" w:rsidRDefault="006E3CBC" w:rsidP="00C52303">
      <w:pPr>
        <w:spacing w:line="276" w:lineRule="auto"/>
        <w:jc w:val="both"/>
        <w:rPr>
          <w:lang w:val="en-US"/>
        </w:rPr>
      </w:pPr>
      <w:r>
        <w:rPr>
          <w:lang w:val="en-US"/>
        </w:rPr>
        <w:t>РЕШИ:</w:t>
      </w:r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ОСТАВЯ БЕЗ УВАЖЕНИЕ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РБ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срещу</w:t>
      </w:r>
      <w:proofErr w:type="spellEnd"/>
      <w:r>
        <w:rPr>
          <w:lang w:val="en-US"/>
        </w:rPr>
        <w:t xml:space="preserve"> Ц. И. К.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</w:t>
      </w:r>
      <w:r>
        <w:rPr>
          <w:lang w:val="en-US"/>
        </w:rPr>
        <w:t>ство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НОХД № 281/2013 г.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описа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гр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Своге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lastRenderedPageBreak/>
        <w:t>Решението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подлежи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обжалване</w:t>
      </w:r>
      <w:proofErr w:type="spellEnd"/>
      <w:r>
        <w:rPr>
          <w:lang w:val="en-US"/>
        </w:rPr>
        <w:t>.</w:t>
      </w:r>
      <w:proofErr w:type="gramEnd"/>
    </w:p>
    <w:p w:rsidR="007073BC" w:rsidRDefault="006E3CBC" w:rsidP="00C52303">
      <w:pPr>
        <w:spacing w:line="276" w:lineRule="auto"/>
        <w:jc w:val="both"/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2E3CF800" wp14:editId="7402D417">
                <wp:extent cx="6332220" cy="19050"/>
                <wp:effectExtent l="0" t="0" r="0" b="0"/>
                <wp:docPr id="3" name="drawingObject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633222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7073BC" w:rsidRDefault="006E3CBC" w:rsidP="00C52303">
      <w:pPr>
        <w:spacing w:line="276" w:lineRule="auto"/>
        <w:jc w:val="both"/>
        <w:rPr>
          <w:lang w:val="en-US"/>
        </w:rPr>
      </w:pPr>
      <w:r>
        <w:rPr>
          <w:lang w:val="en-US"/>
        </w:rPr>
        <w:br/>
      </w:r>
      <w:proofErr w:type="spellStart"/>
      <w:r>
        <w:rPr>
          <w:b/>
          <w:bCs/>
          <w:lang w:val="en-US"/>
        </w:rPr>
        <w:t>Данни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за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делото</w:t>
      </w:r>
      <w:proofErr w:type="spellEnd"/>
      <w:r>
        <w:rPr>
          <w:b/>
          <w:bCs/>
          <w:lang w:val="en-US"/>
        </w:rPr>
        <w:t xml:space="preserve"> и </w:t>
      </w:r>
      <w:proofErr w:type="spellStart"/>
      <w:r>
        <w:rPr>
          <w:b/>
          <w:bCs/>
          <w:lang w:val="en-US"/>
        </w:rPr>
        <w:t>връзка</w:t>
      </w:r>
      <w:proofErr w:type="spellEnd"/>
      <w:r>
        <w:rPr>
          <w:b/>
          <w:bCs/>
          <w:lang w:val="en-US"/>
        </w:rPr>
        <w:t xml:space="preserve"> с </w:t>
      </w:r>
      <w:proofErr w:type="spellStart"/>
      <w:r>
        <w:rPr>
          <w:b/>
          <w:bCs/>
          <w:lang w:val="en-US"/>
        </w:rPr>
        <w:t>други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актове</w:t>
      </w:r>
      <w:proofErr w:type="spellEnd"/>
      <w:r>
        <w:rPr>
          <w:b/>
          <w:bCs/>
          <w:lang w:val="en-US"/>
        </w:rPr>
        <w:t>:</w:t>
      </w:r>
      <w:r>
        <w:rPr>
          <w:lang w:val="en-US"/>
        </w:rPr>
        <w:t xml:space="preserve"> </w:t>
      </w:r>
    </w:p>
    <w:p w:rsidR="007073BC" w:rsidRDefault="006E3CBC" w:rsidP="00C52303">
      <w:pPr>
        <w:spacing w:line="276" w:lineRule="auto"/>
        <w:jc w:val="both"/>
        <w:rPr>
          <w:lang w:val="en-US"/>
        </w:rPr>
      </w:pPr>
      <w:r>
        <w:rPr>
          <w:rFonts w:ascii="Symbol" w:eastAsia="Symbol" w:hAnsi="Symbol" w:cs="Symbol"/>
          <w:lang w:val="en-US"/>
        </w:rPr>
        <w:t></w:t>
      </w:r>
      <w:r>
        <w:rPr>
          <w:rFonts w:ascii="Symbol" w:eastAsia="Symbol" w:hAnsi="Symbol" w:cs="Symbol"/>
          <w:lang w:val="en-US"/>
        </w:rPr>
        <w:t></w:t>
      </w:r>
      <w:r>
        <w:rPr>
          <w:rFonts w:ascii="Symbol" w:eastAsia="Symbol" w:hAnsi="Symbol" w:cs="Symbol"/>
          <w:lang w:val="en-US"/>
        </w:rPr>
        <w:t></w:t>
      </w:r>
      <w:proofErr w:type="spellStart"/>
      <w:r>
        <w:rPr>
          <w:lang w:val="en-US"/>
        </w:rPr>
        <w:t>Допълнителна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информация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</w:t>
      </w:r>
      <w:proofErr w:type="spellEnd"/>
      <w:r>
        <w:rPr>
          <w:lang w:val="en-US"/>
        </w:rPr>
        <w:t xml:space="preserve"> № 671/2014 г.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описа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III н. о.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ВКС - </w:t>
      </w:r>
      <w:proofErr w:type="spellStart"/>
      <w:r>
        <w:rPr>
          <w:lang w:val="en-US"/>
        </w:rPr>
        <w:t>виж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тук</w:t>
      </w:r>
      <w:proofErr w:type="spellEnd"/>
    </w:p>
    <w:sectPr w:rsidR="007073BC" w:rsidSect="00C52303">
      <w:footerReference w:type="default" r:id="rId8"/>
      <w:pgSz w:w="12241" w:h="15841"/>
      <w:pgMar w:top="1134" w:right="901" w:bottom="1134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CBC" w:rsidRDefault="006E3CBC">
      <w:r>
        <w:separator/>
      </w:r>
    </w:p>
  </w:endnote>
  <w:endnote w:type="continuationSeparator" w:id="0">
    <w:p w:rsidR="006E3CBC" w:rsidRDefault="006E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7073BC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7073BC" w:rsidRDefault="006E3CBC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F8E3674" wp14:editId="5DCBB663">
                    <wp:extent cx="290830" cy="207645"/>
                    <wp:effectExtent l="0" t="0" r="0" b="0"/>
                    <wp:docPr id="5" name="drawingObject5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Picture 6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7073BC" w:rsidRDefault="006E3CBC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Информационна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система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7073BC" w:rsidRDefault="006E3CBC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C52303">
      <w:rPr>
        <w:rFonts w:ascii="Arial" w:eastAsia="Arial" w:hAnsi="Arial" w:cs="Arial"/>
        <w:sz w:val="20"/>
        <w:szCs w:val="20"/>
      </w:rPr>
      <w:fldChar w:fldCharType="separate"/>
    </w:r>
    <w:r w:rsidR="00C52303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C52303">
      <w:rPr>
        <w:rFonts w:ascii="Arial" w:eastAsia="Arial" w:hAnsi="Arial" w:cs="Arial"/>
        <w:sz w:val="20"/>
        <w:szCs w:val="20"/>
      </w:rPr>
      <w:fldChar w:fldCharType="separate"/>
    </w:r>
    <w:r w:rsidR="00C52303">
      <w:rPr>
        <w:rFonts w:ascii="Arial" w:eastAsia="Arial" w:hAnsi="Arial" w:cs="Arial"/>
        <w:noProof/>
        <w:sz w:val="20"/>
        <w:szCs w:val="20"/>
      </w:rPr>
      <w:t>3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CBC" w:rsidRDefault="006E3CBC">
      <w:r>
        <w:separator/>
      </w:r>
    </w:p>
  </w:footnote>
  <w:footnote w:type="continuationSeparator" w:id="0">
    <w:p w:rsidR="006E3CBC" w:rsidRDefault="006E3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7073BC"/>
    <w:rsid w:val="006E3CBC"/>
    <w:rsid w:val="007073BC"/>
    <w:rsid w:val="00C5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ord95SimpleParagraphNumbering">
    <w:name w:val="Word95 Simple Paragraph Numbering"/>
    <w:qFormat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52303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52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2022-08-30T07:52:00Z</cp:lastPrinted>
  <dcterms:created xsi:type="dcterms:W3CDTF">2022-08-30T07:52:00Z</dcterms:created>
  <dcterms:modified xsi:type="dcterms:W3CDTF">2022-08-30T07:52:00Z</dcterms:modified>
  <cp:contentStatus>Created by the \'abHTML to RTF .Net\'bb 7.4.4.30</cp:contentStatus>
</cp:coreProperties>
</file>