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F4" w:rsidRDefault="000F111D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Решение</w:t>
      </w:r>
      <w:proofErr w:type="spellEnd"/>
      <w:r>
        <w:rPr>
          <w:b/>
          <w:bCs/>
          <w:sz w:val="36"/>
          <w:szCs w:val="36"/>
        </w:rPr>
        <w:t xml:space="preserve"> № 175 </w:t>
      </w:r>
      <w:proofErr w:type="spellStart"/>
      <w:r>
        <w:rPr>
          <w:b/>
          <w:bCs/>
          <w:sz w:val="36"/>
          <w:szCs w:val="36"/>
        </w:rPr>
        <w:t>от</w:t>
      </w:r>
      <w:proofErr w:type="spellEnd"/>
      <w:r>
        <w:rPr>
          <w:b/>
          <w:bCs/>
          <w:sz w:val="36"/>
          <w:szCs w:val="36"/>
        </w:rPr>
        <w:t xml:space="preserve"> 3.10.2019 г. </w:t>
      </w:r>
      <w:proofErr w:type="spellStart"/>
      <w:r>
        <w:rPr>
          <w:b/>
          <w:bCs/>
          <w:sz w:val="36"/>
          <w:szCs w:val="36"/>
        </w:rPr>
        <w:t>на</w:t>
      </w:r>
      <w:proofErr w:type="spellEnd"/>
      <w:r>
        <w:rPr>
          <w:b/>
          <w:bCs/>
          <w:sz w:val="36"/>
          <w:szCs w:val="36"/>
        </w:rPr>
        <w:t xml:space="preserve"> ВКС </w:t>
      </w:r>
      <w:proofErr w:type="spellStart"/>
      <w:r>
        <w:rPr>
          <w:b/>
          <w:bCs/>
          <w:sz w:val="36"/>
          <w:szCs w:val="36"/>
        </w:rPr>
        <w:t>по</w:t>
      </w:r>
      <w:proofErr w:type="spellEnd"/>
      <w:r>
        <w:rPr>
          <w:b/>
          <w:bCs/>
          <w:sz w:val="36"/>
          <w:szCs w:val="36"/>
        </w:rPr>
        <w:t xml:space="preserve"> н. д. № 742/2019 </w:t>
      </w:r>
      <w:proofErr w:type="gramStart"/>
      <w:r>
        <w:rPr>
          <w:b/>
          <w:bCs/>
          <w:sz w:val="36"/>
          <w:szCs w:val="36"/>
        </w:rPr>
        <w:t>г.,</w:t>
      </w:r>
      <w:proofErr w:type="gramEnd"/>
      <w:r>
        <w:rPr>
          <w:b/>
          <w:bCs/>
          <w:sz w:val="36"/>
          <w:szCs w:val="36"/>
        </w:rPr>
        <w:t xml:space="preserve"> II н. о., НК, </w:t>
      </w:r>
      <w:proofErr w:type="spellStart"/>
      <w:r>
        <w:rPr>
          <w:b/>
          <w:bCs/>
          <w:sz w:val="36"/>
          <w:szCs w:val="36"/>
        </w:rPr>
        <w:t>докладчик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съдията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Теодора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Стамболова</w:t>
      </w:r>
      <w:proofErr w:type="spellEnd"/>
    </w:p>
    <w:p w:rsidR="00EE30F4" w:rsidRDefault="000F111D">
      <w:pPr>
        <w:spacing w:before="120"/>
        <w:ind w:firstLine="990"/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б. "</w:t>
      </w:r>
      <w:proofErr w:type="spellStart"/>
      <w:r>
        <w:rPr>
          <w:lang w:val="en-US"/>
        </w:rPr>
        <w:t>в"</w:t>
      </w:r>
      <w:proofErr w:type="gramStart"/>
      <w:r>
        <w:rPr>
          <w:lang w:val="en-US"/>
        </w:rPr>
        <w:t>,вр</w:t>
      </w:r>
      <w:proofErr w:type="spellEnd"/>
      <w:proofErr w:type="gramEnd"/>
      <w:r>
        <w:rPr>
          <w:lang w:val="en-US"/>
        </w:rPr>
        <w:t xml:space="preserve">. </w:t>
      </w:r>
    </w:p>
    <w:p w:rsidR="00EE30F4" w:rsidRDefault="000F111D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 НК,</w:t>
      </w:r>
    </w:p>
    <w:p w:rsidR="00EE30F4" w:rsidRDefault="000F111D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58а,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вр.</w:t>
      </w:r>
      <w:proofErr w:type="gramEnd"/>
      <w:r>
        <w:rPr>
          <w:lang w:val="en-US"/>
        </w:rPr>
        <w:t xml:space="preserve"> </w:t>
      </w:r>
    </w:p>
    <w:p w:rsidR="00EE30F4" w:rsidRDefault="000F111D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1 НК</w:t>
      </w:r>
    </w:p>
    <w:p w:rsidR="00EE30F4" w:rsidRPr="002859EA" w:rsidRDefault="00EE30F4">
      <w:pPr>
        <w:spacing w:before="120"/>
        <w:ind w:firstLine="990"/>
      </w:pPr>
      <w:bookmarkStart w:id="0" w:name="_GoBack"/>
      <w:bookmarkEnd w:id="0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5 НПК.</w:t>
      </w:r>
      <w:proofErr w:type="gramEnd"/>
      <w:r>
        <w:rPr>
          <w:lang w:val="en-US"/>
        </w:rPr>
        <w:t xml:space="preserve"> 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 № 6/14.03.19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постановена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ОС-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 xml:space="preserve"> /ШОС/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Н. Д. 56/19 г., </w:t>
      </w:r>
      <w:proofErr w:type="spellStart"/>
      <w:r>
        <w:rPr>
          <w:lang w:val="en-US"/>
        </w:rPr>
        <w:t>подсъдимият</w:t>
      </w:r>
      <w:proofErr w:type="spellEnd"/>
      <w:r>
        <w:rPr>
          <w:lang w:val="en-US"/>
        </w:rPr>
        <w:t xml:space="preserve"> А. -Й. З. е </w:t>
      </w:r>
      <w:proofErr w:type="spellStart"/>
      <w:r>
        <w:rPr>
          <w:lang w:val="en-US"/>
        </w:rPr>
        <w:t>признат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виновен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осъден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извършено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 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В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НК и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58 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т. 1 НК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наложено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свобода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изтърпяване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отложено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изпитателен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години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Г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37, т. 7 НК </w:t>
      </w:r>
      <w:proofErr w:type="spellStart"/>
      <w:r>
        <w:rPr>
          <w:lang w:val="en-US"/>
        </w:rPr>
        <w:t>той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лишен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управлява</w:t>
      </w:r>
      <w:proofErr w:type="spellEnd"/>
      <w:r>
        <w:rPr>
          <w:lang w:val="en-US"/>
        </w:rPr>
        <w:t xml:space="preserve"> МПС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считано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изземването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свидетелството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правоуправление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Тази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протестирана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обжалвана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влязла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изтичане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предвидения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шестмесечен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</w:t>
      </w:r>
      <w:r>
        <w:rPr>
          <w:lang w:val="en-US"/>
        </w:rPr>
        <w:t>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влизане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съответния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/02.05.19 г. / е </w:t>
      </w:r>
      <w:proofErr w:type="spellStart"/>
      <w:r>
        <w:rPr>
          <w:lang w:val="en-US"/>
        </w:rPr>
        <w:t>постъпило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РБ с </w:t>
      </w:r>
      <w:proofErr w:type="spellStart"/>
      <w:r>
        <w:rPr>
          <w:lang w:val="en-US"/>
        </w:rPr>
        <w:t>претенция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присъдата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отменена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</w:t>
      </w:r>
      <w:r>
        <w:rPr>
          <w:lang w:val="en-US"/>
        </w:rPr>
        <w:t>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първоинстанционния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съдебно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 </w:t>
      </w:r>
      <w:proofErr w:type="spellStart"/>
      <w:r>
        <w:rPr>
          <w:lang w:val="en-US"/>
        </w:rPr>
        <w:t>представителят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ВКП </w:t>
      </w:r>
      <w:proofErr w:type="spellStart"/>
      <w:r>
        <w:rPr>
          <w:lang w:val="en-US"/>
        </w:rPr>
        <w:t>поддържа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варианта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предложен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Самият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редовно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призован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Република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Румъния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явява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Назначеният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защитник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намира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оставено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уважение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Второ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отделение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взе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сезиращия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аргументите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съобрази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становищата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съдебно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сле</w:t>
      </w:r>
      <w:r>
        <w:rPr>
          <w:lang w:val="en-US"/>
        </w:rPr>
        <w:t>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запозна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материалите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рамките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компетенциите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настоящата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процедура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намира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установено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следното</w:t>
      </w:r>
      <w:proofErr w:type="spellEnd"/>
      <w:r>
        <w:rPr>
          <w:lang w:val="en-US"/>
        </w:rPr>
        <w:t xml:space="preserve">: 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Няма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никакво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съмнение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освен</w:t>
      </w:r>
      <w:proofErr w:type="spellEnd"/>
      <w:r>
        <w:rPr>
          <w:lang w:val="en-US"/>
        </w:rPr>
        <w:t xml:space="preserve"> че е </w:t>
      </w:r>
      <w:proofErr w:type="spellStart"/>
      <w:r>
        <w:rPr>
          <w:lang w:val="en-US"/>
        </w:rPr>
        <w:t>допустимо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подадено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шестмесечния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влизане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атакувания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сила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доколкото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претендира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влошаване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положението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лице</w:t>
      </w:r>
      <w:proofErr w:type="spellEnd"/>
      <w:r>
        <w:rPr>
          <w:lang w:val="en-US"/>
        </w:rPr>
        <w:t xml:space="preserve">, е и </w:t>
      </w:r>
      <w:proofErr w:type="spellStart"/>
      <w:r>
        <w:rPr>
          <w:lang w:val="en-US"/>
        </w:rPr>
        <w:t>основателно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И </w:t>
      </w:r>
      <w:proofErr w:type="spellStart"/>
      <w:r>
        <w:rPr>
          <w:lang w:val="en-US"/>
        </w:rPr>
        <w:t>казаното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същината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съдържанието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, е </w:t>
      </w:r>
      <w:proofErr w:type="spellStart"/>
      <w:r>
        <w:rPr>
          <w:lang w:val="en-US"/>
        </w:rPr>
        <w:t>нарушено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определяне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</w:t>
      </w:r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по-малко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свобода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третираната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насока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решаващият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преценил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ясните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десетилетия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разписания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ППВС 1/83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ВС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РБ /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непроменено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законодателство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тази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връзка</w:t>
      </w:r>
      <w:proofErr w:type="spellEnd"/>
      <w:r>
        <w:rPr>
          <w:lang w:val="en-US"/>
        </w:rPr>
        <w:t xml:space="preserve">/, т. 6, б. Б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също</w:t>
      </w:r>
      <w:r>
        <w:rPr>
          <w:lang w:val="en-US"/>
        </w:rPr>
        <w:t>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обилната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практика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посочения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повод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Нарушен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49,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 НК и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подлежи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присъдата-на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отмяна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връщане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ДРУГ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ШОС.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такъв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смисъл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поначало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</w:t>
      </w:r>
      <w:r>
        <w:rPr>
          <w:lang w:val="en-US"/>
        </w:rPr>
        <w:t>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явява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състоятелно</w:t>
      </w:r>
      <w:proofErr w:type="spellEnd"/>
      <w:r>
        <w:rPr>
          <w:lang w:val="en-US"/>
        </w:rPr>
        <w:t xml:space="preserve">, и </w:t>
      </w:r>
      <w:proofErr w:type="spellStart"/>
      <w:r>
        <w:rPr>
          <w:lang w:val="en-US"/>
        </w:rPr>
        <w:t>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цялост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единността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наложимото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възражения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lastRenderedPageBreak/>
        <w:t>защитата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обратния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смисъл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подлежат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допълнителна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аргументация</w:t>
      </w:r>
      <w:proofErr w:type="spellEnd"/>
      <w:r>
        <w:rPr>
          <w:lang w:val="en-US"/>
        </w:rPr>
        <w:t xml:space="preserve"> /</w:t>
      </w:r>
      <w:proofErr w:type="spellStart"/>
      <w:r>
        <w:rPr>
          <w:lang w:val="en-US"/>
        </w:rPr>
        <w:t>оставяме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настрана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липсата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каквито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съобра</w:t>
      </w:r>
      <w:r>
        <w:rPr>
          <w:lang w:val="en-US"/>
        </w:rPr>
        <w:t>жения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визирания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присъдата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размер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първоинстанционната </w:t>
      </w:r>
      <w:proofErr w:type="spellStart"/>
      <w:r>
        <w:rPr>
          <w:lang w:val="en-US"/>
        </w:rPr>
        <w:t>съдебна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чиито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мотиви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схематични</w:t>
      </w:r>
      <w:proofErr w:type="spellEnd"/>
      <w:r>
        <w:rPr>
          <w:lang w:val="en-US"/>
        </w:rPr>
        <w:t xml:space="preserve">/. 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Прави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впечатление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обаче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представителят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ШОП /</w:t>
      </w:r>
      <w:proofErr w:type="spellStart"/>
      <w:r>
        <w:rPr>
          <w:lang w:val="en-US"/>
        </w:rPr>
        <w:t>съответната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прокуратура</w:t>
      </w:r>
      <w:proofErr w:type="spellEnd"/>
      <w:r>
        <w:rPr>
          <w:lang w:val="en-US"/>
        </w:rPr>
        <w:t xml:space="preserve">/ </w:t>
      </w:r>
      <w:proofErr w:type="spellStart"/>
      <w:r>
        <w:rPr>
          <w:lang w:val="en-US"/>
        </w:rPr>
        <w:t>сам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съгласил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подобно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неправилно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прилагане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атакувал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въззивната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която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могла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справи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тежкото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недопущение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претендирано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понастоящем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 че </w:t>
      </w:r>
      <w:proofErr w:type="spellStart"/>
      <w:r>
        <w:rPr>
          <w:lang w:val="en-US"/>
        </w:rPr>
        <w:t>процесуалният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упрек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който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отпр</w:t>
      </w:r>
      <w:r>
        <w:rPr>
          <w:lang w:val="en-US"/>
        </w:rPr>
        <w:t>авен</w:t>
      </w:r>
      <w:proofErr w:type="spellEnd"/>
      <w:r>
        <w:rPr>
          <w:lang w:val="en-US"/>
        </w:rPr>
        <w:t xml:space="preserve">, е </w:t>
      </w:r>
      <w:proofErr w:type="spellStart"/>
      <w:r>
        <w:rPr>
          <w:lang w:val="en-US"/>
        </w:rPr>
        <w:t>колкото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съответния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толкова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към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доколкото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грижи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вярно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спазване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закона</w:t>
      </w:r>
      <w:proofErr w:type="spellEnd"/>
      <w:r>
        <w:rPr>
          <w:lang w:val="en-US"/>
        </w:rPr>
        <w:t xml:space="preserve"> /в </w:t>
      </w:r>
      <w:proofErr w:type="spellStart"/>
      <w:r>
        <w:rPr>
          <w:lang w:val="en-US"/>
        </w:rPr>
        <w:t>процедурен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план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НК/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Наблюдават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още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момента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Видно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диспозитива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обсъжданата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свобода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първоначално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изтърпи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първоначален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режим</w:t>
      </w:r>
      <w:proofErr w:type="spellEnd"/>
      <w:r>
        <w:rPr>
          <w:lang w:val="en-US"/>
        </w:rPr>
        <w:t xml:space="preserve">, а </w:t>
      </w:r>
      <w:proofErr w:type="spellStart"/>
      <w:r>
        <w:rPr>
          <w:lang w:val="en-US"/>
        </w:rPr>
        <w:t>впоследствие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приложен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66 НК /л. 58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първостепенното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/. </w:t>
      </w:r>
      <w:proofErr w:type="spellStart"/>
      <w:proofErr w:type="gramStart"/>
      <w:r>
        <w:rPr>
          <w:lang w:val="en-US"/>
        </w:rPr>
        <w:t>Очевидно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противоречие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я</w:t>
      </w:r>
      <w:r>
        <w:rPr>
          <w:lang w:val="en-US"/>
        </w:rPr>
        <w:t>вило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несъществено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искателя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няма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дума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сезиращия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документ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Също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липсва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каквото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възражение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прилагането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20,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 ЗДП в </w:t>
      </w:r>
      <w:proofErr w:type="spellStart"/>
      <w:r>
        <w:rPr>
          <w:lang w:val="en-US"/>
        </w:rPr>
        <w:t>целия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вариант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нарушението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77 ЗДП,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осъдено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лицето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</w:t>
      </w:r>
      <w:r>
        <w:rPr>
          <w:lang w:val="en-US"/>
        </w:rPr>
        <w:t>зависимо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незаконосъобразието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такава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постановка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недопустимото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съчетаване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специален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текст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специалното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законодателство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И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последно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доколкото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стриктно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спазва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този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дължи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отмян</w:t>
      </w:r>
      <w:r>
        <w:rPr>
          <w:lang w:val="en-US"/>
        </w:rPr>
        <w:t>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изцяло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връщане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ШОС, </w:t>
      </w:r>
      <w:proofErr w:type="spellStart"/>
      <w:r>
        <w:rPr>
          <w:lang w:val="en-US"/>
        </w:rPr>
        <w:t>независимо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обстоятелството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нарушението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могло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отстранено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върховната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 /</w:t>
      </w:r>
      <w:proofErr w:type="spellStart"/>
      <w:r>
        <w:rPr>
          <w:lang w:val="en-US"/>
        </w:rPr>
        <w:t>доколкото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относн</w:t>
      </w:r>
      <w:r>
        <w:rPr>
          <w:lang w:val="en-US"/>
        </w:rPr>
        <w:t>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казуса</w:t>
      </w:r>
      <w:proofErr w:type="spellEnd"/>
      <w:r>
        <w:rPr>
          <w:lang w:val="en-US"/>
        </w:rPr>
        <w:t xml:space="preserve">/, </w:t>
      </w:r>
      <w:proofErr w:type="spellStart"/>
      <w:r>
        <w:rPr>
          <w:lang w:val="en-US"/>
        </w:rPr>
        <w:t>чрез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отмяна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присъдата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частта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НК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55 </w:t>
      </w:r>
      <w:proofErr w:type="spellStart"/>
      <w:r>
        <w:rPr>
          <w:lang w:val="en-US"/>
        </w:rPr>
        <w:t>въобще</w:t>
      </w:r>
      <w:proofErr w:type="spellEnd"/>
      <w:r>
        <w:rPr>
          <w:lang w:val="en-US"/>
        </w:rPr>
        <w:t xml:space="preserve"> /</w:t>
      </w:r>
      <w:proofErr w:type="spellStart"/>
      <w:r>
        <w:rPr>
          <w:lang w:val="en-US"/>
        </w:rPr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конкретиката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фактологията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деятелност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която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ясно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</w:t>
      </w:r>
      <w:r>
        <w:rPr>
          <w:lang w:val="en-US"/>
        </w:rPr>
        <w:t>тановена</w:t>
      </w:r>
      <w:proofErr w:type="spellEnd"/>
      <w:r>
        <w:rPr>
          <w:lang w:val="en-US"/>
        </w:rPr>
        <w:t xml:space="preserve">/, </w:t>
      </w:r>
      <w:proofErr w:type="spellStart"/>
      <w:r>
        <w:rPr>
          <w:lang w:val="en-US"/>
        </w:rPr>
        <w:t>когато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несъмнено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целеният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държавното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обвинение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ефект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отстраняване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материалноправното </w:t>
      </w:r>
      <w:proofErr w:type="spellStart"/>
      <w:r>
        <w:rPr>
          <w:lang w:val="en-US"/>
        </w:rPr>
        <w:t>незаконосъобразие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Такава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претенция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отправена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но</w:t>
      </w:r>
      <w:proofErr w:type="spellEnd"/>
      <w:r>
        <w:rPr>
          <w:lang w:val="en-US"/>
        </w:rPr>
        <w:t xml:space="preserve"> и в </w:t>
      </w:r>
      <w:proofErr w:type="spellStart"/>
      <w:r>
        <w:rPr>
          <w:lang w:val="en-US"/>
        </w:rPr>
        <w:t>открито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съответния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себе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възможна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разпоредбата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4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А ВКС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излиза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извън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сферата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самото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уточнено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съдържа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единствено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претенция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лице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независимо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прогнозата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</w:t>
      </w:r>
      <w:r>
        <w:rPr>
          <w:lang w:val="en-US"/>
        </w:rPr>
        <w:t>ещи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процедурни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неблагополучия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Оттук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насетне</w:t>
      </w:r>
      <w:proofErr w:type="spellEnd"/>
      <w:r>
        <w:rPr>
          <w:lang w:val="en-US"/>
        </w:rPr>
        <w:t xml:space="preserve">, ШОС </w:t>
      </w:r>
      <w:proofErr w:type="spellStart"/>
      <w:r>
        <w:rPr>
          <w:lang w:val="en-US"/>
        </w:rPr>
        <w:t>трябва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съобрази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изцяло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процесуалния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липсата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протест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въззивната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разбира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предпоставките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371, т. 2 НПК в </w:t>
      </w:r>
      <w:proofErr w:type="spellStart"/>
      <w:r>
        <w:rPr>
          <w:lang w:val="en-US"/>
        </w:rPr>
        <w:t>случай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възможно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Водим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изложените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</w:t>
      </w:r>
      <w:r>
        <w:rPr>
          <w:lang w:val="en-US"/>
        </w:rPr>
        <w:t>ъображения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ал</w:t>
      </w:r>
      <w:proofErr w:type="spellEnd"/>
      <w:proofErr w:type="gramEnd"/>
      <w:r>
        <w:rPr>
          <w:lang w:val="en-US"/>
        </w:rPr>
        <w:t xml:space="preserve">. 1, т. 1 НПК, </w:t>
      </w: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Второ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отделение</w:t>
      </w:r>
      <w:proofErr w:type="spellEnd"/>
    </w:p>
    <w:p w:rsidR="00EE30F4" w:rsidRDefault="000F111D" w:rsidP="002859E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 Е Ш И: 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ВЪЗОБНОВЯВА В. Н. Д. 56/19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ОС-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ОТМЕНЯВА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 № 6/14.03.19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постановена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ОС-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Н. Д. 56/19 г.</w:t>
      </w:r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ВРЪЩА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ОС-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Решението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окончателно</w:t>
      </w:r>
      <w:proofErr w:type="spellEnd"/>
      <w:r>
        <w:rPr>
          <w:lang w:val="en-US"/>
        </w:rPr>
        <w:t>.</w:t>
      </w:r>
      <w:proofErr w:type="gramEnd"/>
    </w:p>
    <w:p w:rsidR="00EE30F4" w:rsidRDefault="000F111D" w:rsidP="002859EA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lastRenderedPageBreak/>
        <w:t>Същото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преведе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румънски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език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уведомен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>.</w:t>
      </w:r>
      <w:proofErr w:type="gramEnd"/>
    </w:p>
    <w:p w:rsidR="00EE30F4" w:rsidRDefault="00EE30F4" w:rsidP="002859EA">
      <w:pPr>
        <w:spacing w:line="276" w:lineRule="auto"/>
        <w:jc w:val="both"/>
        <w:rPr>
          <w:lang w:val="en-US"/>
        </w:rPr>
      </w:pPr>
    </w:p>
    <w:p w:rsidR="00EE30F4" w:rsidRDefault="000F111D" w:rsidP="002859EA">
      <w:pPr>
        <w:spacing w:before="120" w:line="276" w:lineRule="auto"/>
        <w:ind w:firstLine="990"/>
        <w:jc w:val="both"/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37FD0AF9" wp14:editId="019AD4B1">
                <wp:extent cx="1266190" cy="19050"/>
                <wp:effectExtent l="0" t="0" r="0" b="0"/>
                <wp:docPr id="3" name="drawingObject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EE30F4" w:rsidRDefault="000F111D" w:rsidP="002859EA">
      <w:pPr>
        <w:spacing w:before="120" w:line="276" w:lineRule="auto"/>
        <w:ind w:firstLine="990"/>
        <w:jc w:val="both"/>
        <w:rPr>
          <w:b/>
          <w:bCs/>
          <w:lang w:val="en-US"/>
        </w:rPr>
      </w:pPr>
      <w:r>
        <w:rPr>
          <w:lang w:val="en-US"/>
        </w:rPr>
        <w:br/>
      </w:r>
      <w:proofErr w:type="spellStart"/>
      <w:r>
        <w:rPr>
          <w:b/>
          <w:bCs/>
          <w:lang w:val="en-US"/>
        </w:rPr>
        <w:t>Данни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за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делото</w:t>
      </w:r>
      <w:proofErr w:type="spellEnd"/>
      <w:r>
        <w:rPr>
          <w:b/>
          <w:bCs/>
          <w:lang w:val="en-US"/>
        </w:rPr>
        <w:t xml:space="preserve"> и </w:t>
      </w:r>
      <w:proofErr w:type="spellStart"/>
      <w:r>
        <w:rPr>
          <w:b/>
          <w:bCs/>
          <w:lang w:val="en-US"/>
        </w:rPr>
        <w:t>връзка</w:t>
      </w:r>
      <w:proofErr w:type="spellEnd"/>
      <w:r>
        <w:rPr>
          <w:b/>
          <w:bCs/>
          <w:lang w:val="en-US"/>
        </w:rPr>
        <w:t xml:space="preserve"> с </w:t>
      </w:r>
      <w:proofErr w:type="spellStart"/>
      <w:r>
        <w:rPr>
          <w:b/>
          <w:bCs/>
          <w:lang w:val="en-US"/>
        </w:rPr>
        <w:t>други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актове</w:t>
      </w:r>
      <w:proofErr w:type="spellEnd"/>
      <w:r>
        <w:rPr>
          <w:b/>
          <w:bCs/>
          <w:lang w:val="en-US"/>
        </w:rPr>
        <w:t>:</w:t>
      </w:r>
    </w:p>
    <w:p w:rsidR="00EE30F4" w:rsidRDefault="000F111D" w:rsidP="002859EA">
      <w:pPr>
        <w:numPr>
          <w:ilvl w:val="0"/>
          <w:numId w:val="1"/>
        </w:numPr>
        <w:spacing w:before="100" w:line="276" w:lineRule="auto"/>
        <w:ind w:left="720" w:hanging="360"/>
        <w:jc w:val="both"/>
        <w:rPr>
          <w:lang w:val="en-US"/>
        </w:rPr>
      </w:pPr>
      <w:proofErr w:type="spellStart"/>
      <w:r>
        <w:rPr>
          <w:lang w:val="en-US"/>
        </w:rPr>
        <w:t>Допълнителна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информация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 № 742/2019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II н. о., НК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ВКС - </w:t>
      </w:r>
      <w:proofErr w:type="spellStart"/>
      <w:r>
        <w:rPr>
          <w:lang w:val="en-US"/>
        </w:rPr>
        <w:t>виж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тук</w:t>
      </w:r>
      <w:proofErr w:type="spellEnd"/>
    </w:p>
    <w:p w:rsidR="00EE30F4" w:rsidRDefault="000F111D" w:rsidP="002859EA">
      <w:pPr>
        <w:numPr>
          <w:ilvl w:val="0"/>
          <w:numId w:val="1"/>
        </w:numPr>
        <w:spacing w:line="276" w:lineRule="auto"/>
        <w:ind w:left="720" w:hanging="360"/>
        <w:jc w:val="both"/>
        <w:rPr>
          <w:lang w:val="en-US"/>
        </w:rPr>
      </w:pPr>
      <w:proofErr w:type="spellStart"/>
      <w:r>
        <w:rPr>
          <w:lang w:val="en-US"/>
        </w:rPr>
        <w:t>Образувано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връзка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 № 56/2019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Окръжен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виж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 № 6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14.03.2019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Окръжен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Шумен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н. о. х. д. № 56/2019 г.</w:t>
      </w:r>
    </w:p>
    <w:sectPr w:rsidR="00EE30F4" w:rsidSect="002859EA">
      <w:footerReference w:type="default" r:id="rId9"/>
      <w:pgSz w:w="12241" w:h="15841"/>
      <w:pgMar w:top="1134" w:right="759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1D" w:rsidRDefault="000F111D">
      <w:r>
        <w:separator/>
      </w:r>
    </w:p>
  </w:endnote>
  <w:endnote w:type="continuationSeparator" w:id="0">
    <w:p w:rsidR="000F111D" w:rsidRDefault="000F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EE30F4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EE30F4" w:rsidRDefault="000F111D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E11E8F9" wp14:editId="50236209">
                    <wp:extent cx="290830" cy="207645"/>
                    <wp:effectExtent l="0" t="0" r="0" b="0"/>
                    <wp:docPr id="5" name="drawingObject5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Picture 6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EE30F4" w:rsidRDefault="000F111D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Информационна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система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EE30F4" w:rsidRDefault="000F111D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2859EA">
      <w:rPr>
        <w:rFonts w:ascii="Arial" w:eastAsia="Arial" w:hAnsi="Arial" w:cs="Arial"/>
        <w:sz w:val="20"/>
        <w:szCs w:val="20"/>
      </w:rPr>
      <w:fldChar w:fldCharType="separate"/>
    </w:r>
    <w:r w:rsidR="002859EA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2859EA">
      <w:rPr>
        <w:rFonts w:ascii="Arial" w:eastAsia="Arial" w:hAnsi="Arial" w:cs="Arial"/>
        <w:sz w:val="20"/>
        <w:szCs w:val="20"/>
      </w:rPr>
      <w:fldChar w:fldCharType="separate"/>
    </w:r>
    <w:r w:rsidR="002859EA">
      <w:rPr>
        <w:rFonts w:ascii="Arial" w:eastAsia="Arial" w:hAnsi="Arial" w:cs="Arial"/>
        <w:noProof/>
        <w:sz w:val="20"/>
        <w:szCs w:val="20"/>
      </w:rPr>
      <w:t>3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1D" w:rsidRDefault="000F111D">
      <w:r>
        <w:separator/>
      </w:r>
    </w:p>
  </w:footnote>
  <w:footnote w:type="continuationSeparator" w:id="0">
    <w:p w:rsidR="000F111D" w:rsidRDefault="000F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859CB"/>
    <w:multiLevelType w:val="hybridMultilevel"/>
    <w:tmpl w:val="FE74604C"/>
    <w:name w:val="Word95 Simple Paragraph Numbering"/>
    <w:styleLink w:val="Word95SimpleParagraphNumbering"/>
    <w:lvl w:ilvl="0" w:tplc="AC500BA4">
      <w:numFmt w:val="bullet"/>
      <w:lvlText w:val="· "/>
      <w:lvlJc w:val="left"/>
      <w:pPr>
        <w:ind w:left="0"/>
      </w:pPr>
      <w:rPr>
        <w:rFonts w:ascii="Symbol" w:eastAsia="Symbol" w:hAnsi="Symbol" w:cs="Symbol"/>
      </w:rPr>
    </w:lvl>
    <w:lvl w:ilvl="1" w:tplc="030C583C">
      <w:numFmt w:val="decimal"/>
      <w:lvlText w:val=""/>
      <w:lvlJc w:val="left"/>
    </w:lvl>
    <w:lvl w:ilvl="2" w:tplc="554CD58C">
      <w:numFmt w:val="decimal"/>
      <w:lvlText w:val=""/>
      <w:lvlJc w:val="left"/>
    </w:lvl>
    <w:lvl w:ilvl="3" w:tplc="0A0840D8">
      <w:numFmt w:val="decimal"/>
      <w:lvlText w:val=""/>
      <w:lvlJc w:val="left"/>
    </w:lvl>
    <w:lvl w:ilvl="4" w:tplc="F2B0FAE6">
      <w:numFmt w:val="decimal"/>
      <w:lvlText w:val=""/>
      <w:lvlJc w:val="left"/>
    </w:lvl>
    <w:lvl w:ilvl="5" w:tplc="E07812CC">
      <w:numFmt w:val="decimal"/>
      <w:lvlText w:val=""/>
      <w:lvlJc w:val="left"/>
    </w:lvl>
    <w:lvl w:ilvl="6" w:tplc="992A71FC">
      <w:numFmt w:val="decimal"/>
      <w:lvlText w:val=""/>
      <w:lvlJc w:val="left"/>
    </w:lvl>
    <w:lvl w:ilvl="7" w:tplc="44F4D022">
      <w:numFmt w:val="decimal"/>
      <w:lvlText w:val=""/>
      <w:lvlJc w:val="left"/>
    </w:lvl>
    <w:lvl w:ilvl="8" w:tplc="4842A05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EE30F4"/>
    <w:rsid w:val="000F111D"/>
    <w:rsid w:val="002859EA"/>
    <w:rsid w:val="00EE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ord95SimpleParagraphNumbering">
    <w:name w:val="Word95 Simple Paragraph Numbering"/>
    <w:qFormat/>
    <w:pPr>
      <w:numPr>
        <w:numId w:val="1"/>
      </w:numPr>
    </w:pPr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859E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85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3</cp:revision>
  <cp:lastPrinted>2022-08-30T07:55:00Z</cp:lastPrinted>
  <dcterms:created xsi:type="dcterms:W3CDTF">2022-08-30T07:54:00Z</dcterms:created>
  <dcterms:modified xsi:type="dcterms:W3CDTF">2022-08-30T07:56:00Z</dcterms:modified>
  <cp:contentStatus>Created by the \'abHTML to RTF .Net\'bb 7.4.4.30</cp:contentStatus>
</cp:coreProperties>
</file>